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olor w:val="31849B" w:themeColor="accent5" w:themeShade="BF"/>
          <w:sz w:val="76"/>
          <w:szCs w:val="76"/>
          <w:lang w:eastAsia="en-US"/>
        </w:rPr>
        <w:id w:val="1515808676"/>
        <w:docPartObj>
          <w:docPartGallery w:val="Cover Pages"/>
          <w:docPartUnique/>
        </w:docPartObj>
      </w:sdtPr>
      <w:sdtEndPr>
        <w:rPr>
          <w:color w:val="auto"/>
          <w:sz w:val="44"/>
          <w:szCs w:val="44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595"/>
            <w:gridCol w:w="582"/>
            <w:gridCol w:w="2093"/>
          </w:tblGrid>
          <w:tr w:rsidR="00B1668B" w:rsidTr="00B1668B">
            <w:tc>
              <w:tcPr>
                <w:tcW w:w="659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B1668B" w:rsidRPr="00B1668B" w:rsidRDefault="00B1668B" w:rsidP="00B1668B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</w:pPr>
                <w:r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  <w:t>INFORME DE EJECUCION PRESUPUESTARIA</w:t>
                </w:r>
              </w:p>
            </w:tc>
            <w:tc>
              <w:tcPr>
                <w:tcW w:w="267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B1668B" w:rsidRPr="00B1668B" w:rsidRDefault="00047C4A" w:rsidP="00047C4A">
                <w:pPr>
                  <w:pStyle w:val="Sinespaciado"/>
                  <w:rPr>
                    <w:color w:val="31849B" w:themeColor="accent5" w:themeShade="BF"/>
                    <w:sz w:val="200"/>
                    <w:szCs w:val="200"/>
                    <w14:numForm w14:val="oldStyle"/>
                  </w:rPr>
                </w:pPr>
                <w:r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Septiembre</w:t>
                </w:r>
                <w:r w:rsidR="004222AD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 xml:space="preserve"> </w:t>
                </w:r>
                <w:r w:rsidR="00F83604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 xml:space="preserve"> </w:t>
                </w:r>
                <w:r w:rsidR="00B1668B"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201</w:t>
                </w:r>
                <w:r w:rsidR="00EC6460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8</w:t>
                </w:r>
              </w:p>
            </w:tc>
          </w:tr>
          <w:tr w:rsidR="00B1668B" w:rsidTr="00B1668B">
            <w:tc>
              <w:tcPr>
                <w:tcW w:w="7177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</w:pPr>
              </w:p>
            </w:tc>
            <w:tc>
              <w:tcPr>
                <w:tcW w:w="2093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B1668B" w:rsidRDefault="00B1668B"/>
        <w:p w:rsidR="00B1668B" w:rsidRDefault="00B1668B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val="es-ES" w:eastAsia="en-US"/>
            </w:rPr>
            <w:id w:val="619569926"/>
            <w:docPartObj>
              <w:docPartGallery w:val="Table of Contents"/>
              <w:docPartUnique/>
            </w:docPartObj>
          </w:sdtPr>
          <w:sdtEndPr/>
          <w:sdtContent>
            <w:p w:rsidR="00BC29AC" w:rsidRDefault="00BC29AC" w:rsidP="005E3B59">
              <w:pPr>
                <w:pStyle w:val="TtulodeTDC"/>
                <w:jc w:val="center"/>
                <w:rPr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val="es-ES" w:eastAsia="en-US"/>
                </w:rPr>
              </w:pPr>
            </w:p>
            <w:p w:rsidR="005E3B59" w:rsidRDefault="005E3B59" w:rsidP="005E3B59">
              <w:pPr>
                <w:pStyle w:val="TtulodeTDC"/>
                <w:jc w:val="center"/>
                <w:rPr>
                  <w:lang w:val="es-ES"/>
                </w:rPr>
              </w:pPr>
              <w:r>
                <w:rPr>
                  <w:lang w:val="es-ES"/>
                </w:rPr>
                <w:t>Contenido</w:t>
              </w:r>
            </w:p>
            <w:p w:rsidR="00F71CCF" w:rsidRDefault="00F71CCF" w:rsidP="00F71CCF">
              <w:pPr>
                <w:rPr>
                  <w:lang w:val="es-ES" w:eastAsia="es-CR"/>
                </w:rPr>
              </w:pPr>
            </w:p>
            <w:p w:rsidR="00BC29AC" w:rsidRPr="00F71CCF" w:rsidRDefault="00BC29AC" w:rsidP="00F71CCF">
              <w:pPr>
                <w:rPr>
                  <w:lang w:val="es-ES" w:eastAsia="es-CR"/>
                </w:rPr>
              </w:pPr>
            </w:p>
            <w:p w:rsidR="005E3B59" w:rsidRPr="005E3B59" w:rsidRDefault="005E3B59" w:rsidP="005E3B59">
              <w:pPr>
                <w:rPr>
                  <w:lang w:val="es-ES" w:eastAsia="es-CR"/>
                </w:rPr>
              </w:pPr>
            </w:p>
            <w:p w:rsidR="007D07A5" w:rsidRDefault="005E3B59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88676716" w:history="1">
                <w:r w:rsidR="007D07A5" w:rsidRPr="00F628EF">
                  <w:rPr>
                    <w:rStyle w:val="Hipervnculo"/>
                    <w:noProof/>
                  </w:rPr>
                  <w:t>1.</w:t>
                </w:r>
                <w:r w:rsidR="007D07A5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7D07A5" w:rsidRPr="00F628EF">
                  <w:rPr>
                    <w:rStyle w:val="Hipervnculo"/>
                    <w:noProof/>
                  </w:rPr>
                  <w:t>Resultados de la Ejecución Presupuestaria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_Toc488676716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2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7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1.1  Composición de los ingresos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_Toc488676717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2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8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1.2  Composición de Egresos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_Toc488676718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4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9" w:history="1">
                <w:r w:rsidR="007D07A5" w:rsidRPr="00F628EF">
                  <w:rPr>
                    <w:rStyle w:val="Hipervnculo"/>
                    <w:noProof/>
                  </w:rPr>
                  <w:t>2.</w:t>
                </w:r>
                <w:r w:rsidR="007D07A5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7D07A5" w:rsidRPr="00F628EF">
                  <w:rPr>
                    <w:rStyle w:val="Hipervnculo"/>
                    <w:noProof/>
                  </w:rPr>
                  <w:t>Información Complementaria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_Toc488676719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7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0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2.1 Remuneraciones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_Toc488676720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7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1" w:history="1">
                <w:r w:rsidR="007D07A5" w:rsidRPr="00F628EF">
                  <w:rPr>
                    <w:rStyle w:val="Hipervnculo"/>
                    <w:noProof/>
                  </w:rPr>
                  <w:t>2.2 Transferencias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_Toc488676721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8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FC3C34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2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2.3 Amortización  e Intereses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_Toc488676722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8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5E3B59" w:rsidRDefault="005E3B59">
              <w:r>
                <w:rPr>
                  <w:b/>
                  <w:bCs/>
                  <w:lang w:val="es-ES"/>
                </w:rPr>
                <w:fldChar w:fldCharType="end"/>
              </w:r>
            </w:p>
          </w:sdtContent>
        </w:sdt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BC29AC" w:rsidRPr="00BC29AC" w:rsidRDefault="00FC3C34" w:rsidP="00BC29AC">
          <w:pPr>
            <w:rPr>
              <w:sz w:val="16"/>
              <w:szCs w:val="16"/>
            </w:rPr>
          </w:pPr>
        </w:p>
      </w:sdtContent>
    </w:sdt>
    <w:p w:rsidR="00541D5C" w:rsidRDefault="00541D5C" w:rsidP="000B6DE4">
      <w:pPr>
        <w:pStyle w:val="Ttulo1"/>
        <w:numPr>
          <w:ilvl w:val="0"/>
          <w:numId w:val="7"/>
        </w:numPr>
        <w:rPr>
          <w:color w:val="auto"/>
        </w:rPr>
      </w:pPr>
      <w:bookmarkStart w:id="0" w:name="_Toc488676716"/>
      <w:r w:rsidRPr="000B6DE4">
        <w:rPr>
          <w:color w:val="auto"/>
        </w:rPr>
        <w:lastRenderedPageBreak/>
        <w:t>Resultados de la Ejecución Presupuestaria</w:t>
      </w:r>
      <w:bookmarkEnd w:id="0"/>
    </w:p>
    <w:p w:rsidR="000B6DE4" w:rsidRPr="000B6DE4" w:rsidRDefault="000B6DE4" w:rsidP="000B6DE4"/>
    <w:p w:rsidR="000B6DE4" w:rsidRDefault="000B6DE4" w:rsidP="000B6DE4">
      <w:pPr>
        <w:pStyle w:val="Ttulo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63DCF" w:rsidRPr="000B6DE4" w:rsidRDefault="000B6DE4" w:rsidP="000B6DE4">
      <w:pPr>
        <w:pStyle w:val="Ttulo2"/>
        <w:ind w:firstLine="360"/>
        <w:rPr>
          <w:rFonts w:ascii="Arial" w:hAnsi="Arial" w:cs="Arial"/>
          <w:sz w:val="24"/>
          <w:szCs w:val="24"/>
        </w:rPr>
      </w:pPr>
      <w:bookmarkStart w:id="1" w:name="_Toc488676717"/>
      <w:r w:rsidRPr="000B6DE4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1.1  </w:t>
      </w:r>
      <w:r w:rsidR="00163DCF" w:rsidRPr="000B6DE4">
        <w:rPr>
          <w:rFonts w:ascii="Arial" w:hAnsi="Arial" w:cs="Arial"/>
          <w:color w:val="auto"/>
          <w:sz w:val="24"/>
          <w:szCs w:val="24"/>
        </w:rPr>
        <w:t>Composición de los ingresos</w:t>
      </w:r>
      <w:bookmarkEnd w:id="1"/>
    </w:p>
    <w:p w:rsidR="00415EBB" w:rsidRDefault="00415EBB">
      <w:pPr>
        <w:rPr>
          <w:rFonts w:ascii="Arial" w:hAnsi="Arial" w:cs="Arial"/>
          <w:i/>
          <w:iCs/>
          <w:sz w:val="24"/>
          <w:szCs w:val="24"/>
        </w:rPr>
      </w:pPr>
    </w:p>
    <w:p w:rsidR="009C7041" w:rsidRDefault="007A72CA">
      <w:pPr>
        <w:rPr>
          <w:rFonts w:ascii="Arial" w:hAnsi="Arial" w:cs="Arial"/>
          <w:b/>
          <w:iCs/>
        </w:rPr>
      </w:pPr>
      <w:r w:rsidRPr="00D07CE3">
        <w:rPr>
          <w:rFonts w:ascii="Arial" w:hAnsi="Arial" w:cs="Arial"/>
          <w:b/>
          <w:iCs/>
        </w:rPr>
        <w:t>Grafico N° 1</w:t>
      </w:r>
    </w:p>
    <w:p w:rsidR="007807CF" w:rsidRPr="00D07CE3" w:rsidRDefault="007807CF">
      <w:pPr>
        <w:rPr>
          <w:rFonts w:ascii="Arial" w:hAnsi="Arial" w:cs="Arial"/>
          <w:b/>
          <w:iCs/>
        </w:rPr>
      </w:pPr>
    </w:p>
    <w:p w:rsidR="009C7041" w:rsidRDefault="008D35D3">
      <w:pPr>
        <w:rPr>
          <w:rFonts w:ascii="Arial" w:hAnsi="Arial" w:cs="Arial"/>
          <w:i/>
          <w:iCs/>
          <w:sz w:val="24"/>
          <w:szCs w:val="24"/>
        </w:rPr>
      </w:pPr>
      <w:r w:rsidRP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1FE2D" wp14:editId="6110CC47">
                <wp:simplePos x="0" y="0"/>
                <wp:positionH relativeFrom="column">
                  <wp:posOffset>328930</wp:posOffset>
                </wp:positionH>
                <wp:positionV relativeFrom="paragraph">
                  <wp:posOffset>516255</wp:posOffset>
                </wp:positionV>
                <wp:extent cx="1133475" cy="2762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9B4" w:rsidRDefault="00D95BDC">
                            <w:r>
                              <w:t>408.394.269.0</w:t>
                            </w:r>
                            <w:bookmarkStart w:id="2" w:name="_GoBack"/>
                            <w:bookmarkEnd w:id="2"/>
                            <w:r w:rsidR="00F73BC1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1FE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9pt;margin-top:40.65pt;width:8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" strokecolor="white [3212]">
                <v:textbox>
                  <w:txbxContent>
                    <w:p w:rsidR="00A439B4" w:rsidRDefault="00D95BDC">
                      <w:r>
                        <w:t>408.394.269.0</w:t>
                      </w:r>
                      <w:bookmarkStart w:id="3" w:name="_GoBack"/>
                      <w:bookmarkEnd w:id="3"/>
                      <w:r w:rsidR="00F73BC1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F545C" w:rsidRP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9A804" wp14:editId="422F94B1">
                <wp:simplePos x="0" y="0"/>
                <wp:positionH relativeFrom="column">
                  <wp:posOffset>3701415</wp:posOffset>
                </wp:positionH>
                <wp:positionV relativeFrom="paragraph">
                  <wp:posOffset>876935</wp:posOffset>
                </wp:positionV>
                <wp:extent cx="1276350" cy="2286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9B4" w:rsidRDefault="00D95BDC" w:rsidP="00163DCF">
                            <w:r>
                              <w:t>126.313.675</w:t>
                            </w:r>
                            <w:r w:rsidR="00F73BC1">
                              <w:t>.</w:t>
                            </w:r>
                            <w:r>
                              <w:t>5</w:t>
                            </w:r>
                            <w:r w:rsidR="00F73BC1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A804" id="_x0000_s1027" type="#_x0000_t202" style="position:absolute;margin-left:291.45pt;margin-top:69.05pt;width:100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kvJgIAACk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" stroked="f">
                <v:textbox>
                  <w:txbxContent>
                    <w:p w:rsidR="00A439B4" w:rsidRDefault="00D95BDC" w:rsidP="00163DCF">
                      <w:r>
                        <w:t>126.313.675</w:t>
                      </w:r>
                      <w:r w:rsidR="00F73BC1">
                        <w:t>.</w:t>
                      </w:r>
                      <w:r>
                        <w:t>5</w:t>
                      </w:r>
                      <w:r w:rsidR="00F73BC1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w:drawing>
          <wp:inline distT="0" distB="0" distL="0" distR="0" wp14:anchorId="36683214" wp14:editId="5655F2B2">
            <wp:extent cx="5553075" cy="348615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07CF" w:rsidRDefault="007807CF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9098" w:type="dxa"/>
        <w:tblLook w:val="04A0" w:firstRow="1" w:lastRow="0" w:firstColumn="1" w:lastColumn="0" w:noHBand="0" w:noVBand="1"/>
      </w:tblPr>
      <w:tblGrid>
        <w:gridCol w:w="3032"/>
        <w:gridCol w:w="3032"/>
        <w:gridCol w:w="3034"/>
      </w:tblGrid>
      <w:tr w:rsidR="002C0A18" w:rsidTr="002C0A18">
        <w:trPr>
          <w:trHeight w:val="489"/>
        </w:trPr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Mes</w:t>
            </w:r>
          </w:p>
        </w:tc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Corrientes</w:t>
            </w:r>
          </w:p>
        </w:tc>
        <w:tc>
          <w:tcPr>
            <w:tcW w:w="3034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de Capital</w:t>
            </w:r>
          </w:p>
        </w:tc>
      </w:tr>
      <w:tr w:rsidR="002C0A18" w:rsidTr="002C0A18">
        <w:trPr>
          <w:trHeight w:val="496"/>
        </w:trPr>
        <w:tc>
          <w:tcPr>
            <w:tcW w:w="3032" w:type="dxa"/>
            <w:shd w:val="clear" w:color="auto" w:fill="FFFFFF" w:themeFill="background1"/>
          </w:tcPr>
          <w:p w:rsidR="002C0A18" w:rsidRDefault="002C0A18" w:rsidP="008D35D3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9D6B70" w:rsidP="00047C4A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A </w:t>
            </w:r>
            <w:r w:rsidR="00047C4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septiembre</w:t>
            </w:r>
            <w:r w:rsidR="004B269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2018</w:t>
            </w:r>
          </w:p>
        </w:tc>
        <w:tc>
          <w:tcPr>
            <w:tcW w:w="3032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55718E" w:rsidRDefault="00F73BC1" w:rsidP="00F73BC1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7.25</w:t>
            </w:r>
            <w:r w:rsidR="0055718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034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E64307" w:rsidP="00F73BC1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2</w:t>
            </w:r>
            <w:r w:rsidR="00F73BC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 w:rsidR="00F73BC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12</w:t>
            </w:r>
            <w:r w:rsidR="00E60B1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</w:tr>
    </w:tbl>
    <w:p w:rsidR="009C7041" w:rsidRDefault="009C7041">
      <w:pPr>
        <w:rPr>
          <w:rFonts w:ascii="Arial" w:hAnsi="Arial" w:cs="Arial"/>
          <w:i/>
          <w:iCs/>
          <w:sz w:val="24"/>
          <w:szCs w:val="24"/>
        </w:rPr>
      </w:pPr>
    </w:p>
    <w:p w:rsidR="00400444" w:rsidRDefault="0040044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***</w:t>
      </w:r>
      <w:r w:rsidRPr="00400444">
        <w:rPr>
          <w:rFonts w:ascii="Arial" w:hAnsi="Arial" w:cs="Arial"/>
          <w:i/>
          <w:iCs/>
          <w:sz w:val="18"/>
          <w:szCs w:val="18"/>
        </w:rPr>
        <w:t>DA</w:t>
      </w:r>
      <w:r w:rsidR="00223C5F">
        <w:rPr>
          <w:rFonts w:ascii="Arial" w:hAnsi="Arial" w:cs="Arial"/>
          <w:i/>
          <w:iCs/>
          <w:sz w:val="18"/>
          <w:szCs w:val="18"/>
        </w:rPr>
        <w:t xml:space="preserve">TOS CON RESPECTO AL INGRESOS REAL 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TOTAL </w:t>
      </w:r>
      <w:r w:rsidR="00223C5F">
        <w:rPr>
          <w:rFonts w:ascii="Arial" w:hAnsi="Arial" w:cs="Arial"/>
          <w:i/>
          <w:iCs/>
          <w:sz w:val="18"/>
          <w:szCs w:val="18"/>
        </w:rPr>
        <w:t xml:space="preserve">HASTA </w:t>
      </w:r>
      <w:r w:rsidRPr="00400444">
        <w:rPr>
          <w:rFonts w:ascii="Arial" w:hAnsi="Arial" w:cs="Arial"/>
          <w:i/>
          <w:iCs/>
          <w:sz w:val="18"/>
          <w:szCs w:val="18"/>
        </w:rPr>
        <w:t>EL</w:t>
      </w:r>
      <w:r w:rsidR="00223C5F">
        <w:rPr>
          <w:rFonts w:ascii="Arial" w:hAnsi="Arial" w:cs="Arial"/>
          <w:i/>
          <w:iCs/>
          <w:sz w:val="18"/>
          <w:szCs w:val="18"/>
        </w:rPr>
        <w:t xml:space="preserve"> III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 PERIODO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00444">
        <w:rPr>
          <w:rFonts w:ascii="Arial" w:hAnsi="Arial" w:cs="Arial"/>
          <w:i/>
          <w:iCs/>
          <w:sz w:val="18"/>
          <w:szCs w:val="18"/>
        </w:rPr>
        <w:t>201</w:t>
      </w:r>
      <w:r w:rsidR="00E64307">
        <w:rPr>
          <w:rFonts w:ascii="Arial" w:hAnsi="Arial" w:cs="Arial"/>
          <w:i/>
          <w:iCs/>
          <w:sz w:val="18"/>
          <w:szCs w:val="18"/>
        </w:rPr>
        <w:t>8</w:t>
      </w: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lastRenderedPageBreak/>
        <w:t>De acuerdo con el informe de eje</w:t>
      </w:r>
      <w:r w:rsidR="00F7447A">
        <w:rPr>
          <w:rFonts w:ascii="Arial" w:hAnsi="Arial" w:cs="Arial"/>
          <w:iCs/>
          <w:sz w:val="24"/>
          <w:szCs w:val="24"/>
        </w:rPr>
        <w:t>cución presupuestaria del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 w:rsidR="00E60B1B">
        <w:rPr>
          <w:rFonts w:ascii="Arial" w:hAnsi="Arial" w:cs="Arial"/>
          <w:iCs/>
          <w:sz w:val="24"/>
          <w:szCs w:val="24"/>
        </w:rPr>
        <w:t>I</w:t>
      </w:r>
      <w:r w:rsidR="00223C5F">
        <w:rPr>
          <w:rFonts w:ascii="Arial" w:hAnsi="Arial" w:cs="Arial"/>
          <w:iCs/>
          <w:sz w:val="24"/>
          <w:szCs w:val="24"/>
        </w:rPr>
        <w:t>I</w:t>
      </w:r>
      <w:r w:rsidR="00704FBA">
        <w:rPr>
          <w:rFonts w:ascii="Arial" w:hAnsi="Arial" w:cs="Arial"/>
          <w:iCs/>
          <w:sz w:val="24"/>
          <w:szCs w:val="24"/>
        </w:rPr>
        <w:t>I</w:t>
      </w:r>
      <w:r w:rsidR="00E60B1B">
        <w:rPr>
          <w:rFonts w:ascii="Arial" w:hAnsi="Arial" w:cs="Arial"/>
          <w:iCs/>
          <w:sz w:val="24"/>
          <w:szCs w:val="24"/>
        </w:rPr>
        <w:t xml:space="preserve"> trimestre 201</w:t>
      </w:r>
      <w:r w:rsidR="00CC6546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E60B1B">
        <w:rPr>
          <w:rFonts w:ascii="Arial" w:hAnsi="Arial" w:cs="Arial"/>
          <w:iCs/>
          <w:sz w:val="24"/>
          <w:szCs w:val="24"/>
        </w:rPr>
        <w:t>se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 w:rsidR="008B2BCB">
        <w:rPr>
          <w:rFonts w:ascii="Arial" w:hAnsi="Arial" w:cs="Arial"/>
          <w:iCs/>
          <w:sz w:val="24"/>
          <w:szCs w:val="24"/>
        </w:rPr>
        <w:t>desarroll</w:t>
      </w:r>
      <w:r w:rsidR="008B2BCB" w:rsidRPr="006C2A5A">
        <w:rPr>
          <w:rFonts w:ascii="Arial" w:hAnsi="Arial" w:cs="Arial"/>
          <w:iCs/>
          <w:sz w:val="24"/>
          <w:szCs w:val="24"/>
        </w:rPr>
        <w:t>ó</w:t>
      </w:r>
      <w:r w:rsidRPr="006C2A5A">
        <w:rPr>
          <w:rFonts w:ascii="Arial" w:hAnsi="Arial" w:cs="Arial"/>
          <w:iCs/>
          <w:sz w:val="24"/>
          <w:szCs w:val="24"/>
        </w:rPr>
        <w:t xml:space="preserve"> una gestión eficiente para 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C2A5A">
        <w:rPr>
          <w:rFonts w:ascii="Arial" w:hAnsi="Arial" w:cs="Arial"/>
          <w:iCs/>
          <w:sz w:val="24"/>
          <w:szCs w:val="24"/>
        </w:rPr>
        <w:t>cumplimiento de las metas presupuestari</w:t>
      </w:r>
      <w:r w:rsidR="004428BD">
        <w:rPr>
          <w:rFonts w:ascii="Arial" w:hAnsi="Arial" w:cs="Arial"/>
          <w:iCs/>
          <w:sz w:val="24"/>
          <w:szCs w:val="24"/>
        </w:rPr>
        <w:t>as incluidas en su plan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operativo</w:t>
      </w:r>
      <w:r w:rsidR="00E60B1B">
        <w:rPr>
          <w:rFonts w:ascii="Arial" w:hAnsi="Arial" w:cs="Arial"/>
          <w:iCs/>
          <w:sz w:val="24"/>
          <w:szCs w:val="24"/>
        </w:rPr>
        <w:t xml:space="preserve"> en los ingresos</w:t>
      </w:r>
      <w:r w:rsidRPr="006C2A5A">
        <w:rPr>
          <w:rFonts w:ascii="Arial" w:hAnsi="Arial" w:cs="Arial"/>
          <w:iCs/>
          <w:sz w:val="24"/>
          <w:szCs w:val="24"/>
        </w:rPr>
        <w:t>.</w:t>
      </w: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t>Para el periodo presupuestario 201</w:t>
      </w:r>
      <w:r w:rsidR="006C7DEA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 se estimó un presupuesto de ¢</w:t>
      </w:r>
      <w:r w:rsidR="006C7DEA">
        <w:rPr>
          <w:rFonts w:ascii="Arial" w:hAnsi="Arial" w:cs="Arial"/>
          <w:iCs/>
          <w:sz w:val="24"/>
          <w:szCs w:val="24"/>
        </w:rPr>
        <w:t>3.076</w:t>
      </w:r>
      <w:r w:rsidRPr="006C2A5A">
        <w:rPr>
          <w:rFonts w:ascii="Arial" w:hAnsi="Arial" w:cs="Arial"/>
          <w:iCs/>
          <w:sz w:val="24"/>
          <w:szCs w:val="24"/>
        </w:rPr>
        <w:t xml:space="preserve"> millones de colones, de los cuales ingresaron al finalizar el mes de </w:t>
      </w:r>
      <w:r w:rsidR="00223C5F">
        <w:rPr>
          <w:rFonts w:ascii="Arial" w:hAnsi="Arial" w:cs="Arial"/>
          <w:iCs/>
          <w:sz w:val="24"/>
          <w:szCs w:val="24"/>
        </w:rPr>
        <w:t>septiembre</w:t>
      </w:r>
      <w:r w:rsidRPr="006C2A5A">
        <w:rPr>
          <w:rFonts w:ascii="Arial" w:hAnsi="Arial" w:cs="Arial"/>
          <w:iCs/>
          <w:sz w:val="24"/>
          <w:szCs w:val="24"/>
        </w:rPr>
        <w:t xml:space="preserve"> un total de ¢ </w:t>
      </w:r>
      <w:r w:rsidR="00223C5F">
        <w:rPr>
          <w:rFonts w:ascii="Arial" w:hAnsi="Arial" w:cs="Arial"/>
          <w:iCs/>
          <w:sz w:val="24"/>
          <w:szCs w:val="24"/>
        </w:rPr>
        <w:t xml:space="preserve">1.634 millones </w:t>
      </w:r>
      <w:r w:rsidRPr="006C2A5A">
        <w:rPr>
          <w:rFonts w:ascii="Arial" w:hAnsi="Arial" w:cs="Arial"/>
          <w:iCs/>
          <w:sz w:val="24"/>
          <w:szCs w:val="24"/>
        </w:rPr>
        <w:t xml:space="preserve"> de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  <w:r w:rsidR="004953E4">
        <w:rPr>
          <w:rFonts w:ascii="Arial" w:hAnsi="Arial" w:cs="Arial"/>
          <w:iCs/>
          <w:sz w:val="24"/>
          <w:szCs w:val="24"/>
        </w:rPr>
        <w:t>col</w:t>
      </w:r>
      <w:r w:rsidR="00400444">
        <w:rPr>
          <w:rFonts w:ascii="Arial" w:hAnsi="Arial" w:cs="Arial"/>
          <w:iCs/>
          <w:sz w:val="24"/>
          <w:szCs w:val="24"/>
        </w:rPr>
        <w:t xml:space="preserve">ones, lo que representa el </w:t>
      </w:r>
      <w:r w:rsidR="00223C5F">
        <w:rPr>
          <w:rFonts w:ascii="Arial" w:hAnsi="Arial" w:cs="Arial"/>
          <w:iCs/>
          <w:sz w:val="24"/>
          <w:szCs w:val="24"/>
        </w:rPr>
        <w:t>5</w:t>
      </w:r>
      <w:r w:rsidR="006C7DEA">
        <w:rPr>
          <w:rFonts w:ascii="Arial" w:hAnsi="Arial" w:cs="Arial"/>
          <w:iCs/>
          <w:sz w:val="24"/>
          <w:szCs w:val="24"/>
        </w:rPr>
        <w:t>3.</w:t>
      </w:r>
      <w:r w:rsidR="00223C5F">
        <w:rPr>
          <w:rFonts w:ascii="Arial" w:hAnsi="Arial" w:cs="Arial"/>
          <w:iCs/>
          <w:sz w:val="24"/>
          <w:szCs w:val="24"/>
        </w:rPr>
        <w:t>12</w:t>
      </w:r>
      <w:r w:rsidRPr="006C2A5A">
        <w:rPr>
          <w:rFonts w:ascii="Arial" w:hAnsi="Arial" w:cs="Arial"/>
          <w:iCs/>
          <w:sz w:val="24"/>
          <w:szCs w:val="24"/>
        </w:rPr>
        <w:t xml:space="preserve"> %.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</w:p>
    <w:p w:rsidR="006C2A5A" w:rsidRDefault="00D262A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262A1">
        <w:rPr>
          <w:rFonts w:ascii="Arial" w:hAnsi="Arial" w:cs="Arial"/>
          <w:iCs/>
          <w:sz w:val="24"/>
          <w:szCs w:val="24"/>
        </w:rPr>
        <w:t>Con re</w:t>
      </w:r>
      <w:r w:rsidR="00704FBA">
        <w:rPr>
          <w:rFonts w:ascii="Arial" w:hAnsi="Arial" w:cs="Arial"/>
          <w:iCs/>
          <w:sz w:val="24"/>
          <w:szCs w:val="24"/>
        </w:rPr>
        <w:t>lación a los ingresos de Capital</w:t>
      </w:r>
      <w:r w:rsidRPr="00D262A1">
        <w:rPr>
          <w:rFonts w:ascii="Arial" w:hAnsi="Arial" w:cs="Arial"/>
          <w:iCs/>
          <w:sz w:val="24"/>
          <w:szCs w:val="24"/>
        </w:rPr>
        <w:t xml:space="preserve"> este el apartado </w:t>
      </w:r>
      <w:r w:rsidR="0003395E">
        <w:rPr>
          <w:rFonts w:ascii="Arial" w:hAnsi="Arial" w:cs="Arial"/>
          <w:iCs/>
          <w:sz w:val="24"/>
          <w:szCs w:val="24"/>
        </w:rPr>
        <w:t>que más peso tuvo en este I</w:t>
      </w:r>
      <w:r w:rsidR="00F370A9">
        <w:rPr>
          <w:rFonts w:ascii="Arial" w:hAnsi="Arial" w:cs="Arial"/>
          <w:iCs/>
          <w:sz w:val="24"/>
          <w:szCs w:val="24"/>
        </w:rPr>
        <w:t>I</w:t>
      </w:r>
      <w:r w:rsidR="0003395E">
        <w:rPr>
          <w:rFonts w:ascii="Arial" w:hAnsi="Arial" w:cs="Arial"/>
          <w:iCs/>
          <w:sz w:val="24"/>
          <w:szCs w:val="24"/>
        </w:rPr>
        <w:t>I Trimestre del año</w:t>
      </w:r>
      <w:r w:rsidRPr="00D262A1">
        <w:rPr>
          <w:rFonts w:ascii="Arial" w:hAnsi="Arial" w:cs="Arial"/>
          <w:iCs/>
          <w:sz w:val="24"/>
          <w:szCs w:val="24"/>
        </w:rPr>
        <w:t xml:space="preserve">, en donde se incorporan los </w:t>
      </w:r>
      <w:r w:rsidR="00704FBA">
        <w:rPr>
          <w:rFonts w:ascii="Arial" w:hAnsi="Arial" w:cs="Arial"/>
          <w:iCs/>
          <w:sz w:val="24"/>
          <w:szCs w:val="24"/>
        </w:rPr>
        <w:t>recursos de la Ley 8114</w:t>
      </w:r>
      <w:r w:rsidRPr="00D262A1">
        <w:rPr>
          <w:rFonts w:ascii="Arial" w:hAnsi="Arial" w:cs="Arial"/>
          <w:iCs/>
          <w:sz w:val="24"/>
          <w:szCs w:val="24"/>
        </w:rPr>
        <w:t>, lo cual r</w:t>
      </w:r>
      <w:r w:rsidR="0003395E">
        <w:rPr>
          <w:rFonts w:ascii="Arial" w:hAnsi="Arial" w:cs="Arial"/>
          <w:iCs/>
          <w:sz w:val="24"/>
          <w:szCs w:val="24"/>
        </w:rPr>
        <w:t xml:space="preserve">epresenta al final del mes </w:t>
      </w:r>
      <w:r w:rsidR="00F370A9">
        <w:rPr>
          <w:rFonts w:ascii="Arial" w:hAnsi="Arial" w:cs="Arial"/>
          <w:iCs/>
          <w:sz w:val="24"/>
          <w:szCs w:val="24"/>
        </w:rPr>
        <w:t>Septiembre</w:t>
      </w:r>
      <w:r w:rsidRPr="00D262A1">
        <w:rPr>
          <w:rFonts w:ascii="Arial" w:hAnsi="Arial" w:cs="Arial"/>
          <w:iCs/>
          <w:sz w:val="24"/>
          <w:szCs w:val="24"/>
        </w:rPr>
        <w:t xml:space="preserve"> un </w:t>
      </w:r>
      <w:r w:rsidR="00F370A9">
        <w:rPr>
          <w:rFonts w:ascii="Arial" w:hAnsi="Arial" w:cs="Arial"/>
          <w:iCs/>
          <w:sz w:val="24"/>
          <w:szCs w:val="24"/>
        </w:rPr>
        <w:t>36</w:t>
      </w:r>
      <w:r w:rsidR="00D41810">
        <w:rPr>
          <w:rFonts w:ascii="Arial" w:hAnsi="Arial" w:cs="Arial"/>
          <w:iCs/>
          <w:sz w:val="24"/>
          <w:szCs w:val="24"/>
        </w:rPr>
        <w:t>.</w:t>
      </w:r>
      <w:r w:rsidR="00F370A9">
        <w:rPr>
          <w:rFonts w:ascii="Arial" w:hAnsi="Arial" w:cs="Arial"/>
          <w:iCs/>
          <w:sz w:val="24"/>
          <w:szCs w:val="24"/>
        </w:rPr>
        <w:t>84</w:t>
      </w:r>
      <w:r w:rsidRPr="00D262A1">
        <w:rPr>
          <w:rFonts w:ascii="Arial" w:hAnsi="Arial" w:cs="Arial"/>
          <w:iCs/>
          <w:sz w:val="24"/>
          <w:szCs w:val="24"/>
        </w:rPr>
        <w:t>% del total recaudado</w:t>
      </w:r>
      <w:r w:rsidR="0003395E">
        <w:rPr>
          <w:rFonts w:ascii="Arial" w:hAnsi="Arial" w:cs="Arial"/>
          <w:i/>
          <w:iCs/>
          <w:sz w:val="24"/>
          <w:szCs w:val="24"/>
        </w:rPr>
        <w:t xml:space="preserve"> en el trimestre.</w:t>
      </w:r>
    </w:p>
    <w:p w:rsidR="007A72CA" w:rsidRDefault="007A72CA" w:rsidP="007A72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2B0631" w:rsidP="006C2A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  <w:r w:rsidRPr="00D07CE3">
        <w:rPr>
          <w:rFonts w:ascii="Arial" w:hAnsi="Arial" w:cs="Arial"/>
          <w:b/>
          <w:iCs/>
          <w:sz w:val="20"/>
          <w:szCs w:val="20"/>
        </w:rPr>
        <w:t>Grafico N° 2</w:t>
      </w:r>
    </w:p>
    <w:p w:rsidR="007A72CA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7A72CA" w:rsidRDefault="007807CF" w:rsidP="006C2A5A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es-CR"/>
        </w:rPr>
        <w:drawing>
          <wp:inline distT="0" distB="0" distL="0" distR="0" wp14:anchorId="39EA8D1F" wp14:editId="76349E79">
            <wp:extent cx="5686425" cy="4000500"/>
            <wp:effectExtent l="0" t="0" r="952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87B" w:rsidRDefault="00A2187B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2187B" w:rsidRPr="007807CF" w:rsidRDefault="00A2187B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807CF">
        <w:rPr>
          <w:rFonts w:ascii="Arial" w:hAnsi="Arial" w:cs="Arial"/>
          <w:sz w:val="24"/>
          <w:szCs w:val="24"/>
        </w:rPr>
        <w:lastRenderedPageBreak/>
        <w:t>Como se muestra en el</w:t>
      </w:r>
      <w:r w:rsidR="00DA5AE4">
        <w:rPr>
          <w:rFonts w:ascii="Arial" w:hAnsi="Arial" w:cs="Arial"/>
          <w:sz w:val="24"/>
          <w:szCs w:val="24"/>
        </w:rPr>
        <w:t xml:space="preserve"> Grafico N° 2 en el mes de a</w:t>
      </w:r>
      <w:r w:rsidR="003A3531">
        <w:rPr>
          <w:rFonts w:ascii="Arial" w:hAnsi="Arial" w:cs="Arial"/>
          <w:sz w:val="24"/>
          <w:szCs w:val="24"/>
        </w:rPr>
        <w:t>bril y junio hay</w:t>
      </w:r>
      <w:r w:rsidRPr="007807CF">
        <w:rPr>
          <w:rFonts w:ascii="Arial" w:hAnsi="Arial" w:cs="Arial"/>
          <w:sz w:val="24"/>
          <w:szCs w:val="24"/>
        </w:rPr>
        <w:t xml:space="preserve"> un ingreso de capital muy por encima de los ingresos corrientes esto debido a que se recibió e</w:t>
      </w:r>
      <w:r w:rsidR="00DA5AE4">
        <w:rPr>
          <w:rFonts w:ascii="Arial" w:hAnsi="Arial" w:cs="Arial"/>
          <w:sz w:val="24"/>
          <w:szCs w:val="24"/>
        </w:rPr>
        <w:t xml:space="preserve">l giro correspondiente a </w:t>
      </w:r>
      <w:r w:rsidRPr="007807CF">
        <w:rPr>
          <w:rFonts w:ascii="Arial" w:hAnsi="Arial" w:cs="Arial"/>
          <w:sz w:val="24"/>
          <w:szCs w:val="24"/>
        </w:rPr>
        <w:t xml:space="preserve"> los fondos de la Le</w:t>
      </w:r>
      <w:r w:rsidR="00D41810">
        <w:rPr>
          <w:rFonts w:ascii="Arial" w:hAnsi="Arial" w:cs="Arial"/>
          <w:sz w:val="24"/>
          <w:szCs w:val="24"/>
        </w:rPr>
        <w:t>y de Simplificación Tributaria 8114 y  9329</w:t>
      </w:r>
      <w:r w:rsidRPr="007807CF">
        <w:rPr>
          <w:rFonts w:ascii="Arial" w:hAnsi="Arial" w:cs="Arial"/>
          <w:sz w:val="24"/>
          <w:szCs w:val="24"/>
        </w:rPr>
        <w:t>.</w:t>
      </w:r>
    </w:p>
    <w:p w:rsidR="00FE7692" w:rsidRDefault="00FE7692" w:rsidP="00FE7692"/>
    <w:p w:rsidR="00FE7692" w:rsidRPr="00FE7692" w:rsidRDefault="00FE7692" w:rsidP="00FE7692"/>
    <w:p w:rsidR="007A72CA" w:rsidRPr="00AF1047" w:rsidRDefault="000B6DE4" w:rsidP="000B6DE4">
      <w:pPr>
        <w:pStyle w:val="Ttulo2"/>
        <w:ind w:left="708"/>
        <w:rPr>
          <w:rFonts w:ascii="Arial" w:hAnsi="Arial" w:cs="Arial"/>
          <w:color w:val="auto"/>
          <w:sz w:val="24"/>
          <w:szCs w:val="24"/>
        </w:rPr>
      </w:pPr>
      <w:bookmarkStart w:id="4" w:name="_Toc488676718"/>
      <w:r w:rsidRPr="00AF1047">
        <w:rPr>
          <w:rFonts w:ascii="Arial" w:hAnsi="Arial" w:cs="Arial"/>
          <w:color w:val="auto"/>
          <w:sz w:val="24"/>
          <w:szCs w:val="24"/>
        </w:rPr>
        <w:t xml:space="preserve">1.2  </w:t>
      </w:r>
      <w:r w:rsidR="007A72CA" w:rsidRPr="00AF1047">
        <w:rPr>
          <w:rFonts w:ascii="Arial" w:hAnsi="Arial" w:cs="Arial"/>
          <w:color w:val="auto"/>
          <w:sz w:val="24"/>
          <w:szCs w:val="24"/>
        </w:rPr>
        <w:t>Composición de Egresos</w:t>
      </w:r>
      <w:bookmarkEnd w:id="4"/>
    </w:p>
    <w:p w:rsidR="00B573C5" w:rsidRDefault="00B573C5" w:rsidP="00B573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28EA" w:rsidRPr="00D07CE3" w:rsidRDefault="00B573C5" w:rsidP="00B573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28EA" w:rsidRPr="00D07CE3">
        <w:rPr>
          <w:rFonts w:ascii="Arial" w:hAnsi="Arial" w:cs="Arial"/>
          <w:b/>
          <w:sz w:val="20"/>
          <w:szCs w:val="20"/>
        </w:rPr>
        <w:t>Grafico N° 3</w:t>
      </w:r>
    </w:p>
    <w:p w:rsidR="00304215" w:rsidRDefault="00304215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4215" w:rsidRPr="00304215" w:rsidRDefault="0080549C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drawing>
          <wp:inline distT="0" distB="0" distL="0" distR="0" wp14:anchorId="3940C6B9" wp14:editId="051476EF">
            <wp:extent cx="5486400" cy="413385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40F11" w:rsidRDefault="00A40F1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40F11" w:rsidRDefault="00A40F11" w:rsidP="006C2A5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355"/>
        <w:gridCol w:w="1796"/>
        <w:gridCol w:w="1796"/>
        <w:gridCol w:w="1796"/>
      </w:tblGrid>
      <w:tr w:rsidR="00952883" w:rsidTr="00CA4A96">
        <w:tc>
          <w:tcPr>
            <w:tcW w:w="2235" w:type="dxa"/>
            <w:shd w:val="clear" w:color="auto" w:fill="E5B8B7" w:themeFill="accent2" w:themeFillTint="66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Mes</w:t>
            </w:r>
          </w:p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IV</w:t>
            </w:r>
          </w:p>
        </w:tc>
      </w:tr>
      <w:tr w:rsidR="00952883" w:rsidTr="00CA4A96">
        <w:trPr>
          <w:trHeight w:val="321"/>
        </w:trPr>
        <w:tc>
          <w:tcPr>
            <w:tcW w:w="2235" w:type="dxa"/>
          </w:tcPr>
          <w:p w:rsidR="00952883" w:rsidRDefault="00952883" w:rsidP="006C2A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CA4A96" w:rsidP="00CA4A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septiembre</w:t>
            </w:r>
            <w:r w:rsidR="00967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810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355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78667C" w:rsidP="00786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22.91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78667C" w:rsidP="00076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16.87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78667C" w:rsidP="00786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53.16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78667C" w:rsidP="00786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528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952883" w:rsidRDefault="00952883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033093" w:rsidRDefault="00033093" w:rsidP="0003309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***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DATOS CON RESPECTO AL </w:t>
      </w:r>
      <w:r w:rsidR="0078667C">
        <w:rPr>
          <w:rFonts w:ascii="Arial" w:hAnsi="Arial" w:cs="Arial"/>
          <w:i/>
          <w:iCs/>
          <w:sz w:val="18"/>
          <w:szCs w:val="18"/>
        </w:rPr>
        <w:t>TOTAL EJECUTADO EN EL TRIMESTRE</w:t>
      </w:r>
    </w:p>
    <w:p w:rsidR="00033093" w:rsidRDefault="00033093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6974EB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974EB">
        <w:rPr>
          <w:rFonts w:ascii="Arial" w:hAnsi="Arial" w:cs="Arial"/>
          <w:iCs/>
          <w:sz w:val="24"/>
          <w:szCs w:val="24"/>
        </w:rPr>
        <w:t>Con respecto a l</w:t>
      </w:r>
      <w:r>
        <w:rPr>
          <w:rFonts w:ascii="Arial" w:hAnsi="Arial" w:cs="Arial"/>
          <w:iCs/>
          <w:sz w:val="24"/>
          <w:szCs w:val="24"/>
        </w:rPr>
        <w:t>os egresos, para el periodo 201</w:t>
      </w:r>
      <w:r w:rsidR="00D41810">
        <w:rPr>
          <w:rFonts w:ascii="Arial" w:hAnsi="Arial" w:cs="Arial"/>
          <w:iCs/>
          <w:sz w:val="24"/>
          <w:szCs w:val="24"/>
        </w:rPr>
        <w:t>8</w:t>
      </w:r>
      <w:r w:rsidRPr="006974EB">
        <w:rPr>
          <w:rFonts w:ascii="Arial" w:hAnsi="Arial" w:cs="Arial"/>
          <w:iCs/>
          <w:sz w:val="24"/>
          <w:szCs w:val="24"/>
        </w:rPr>
        <w:t>, se estimó una inversión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974EB">
        <w:rPr>
          <w:rFonts w:ascii="Arial" w:hAnsi="Arial" w:cs="Arial"/>
          <w:iCs/>
          <w:sz w:val="24"/>
          <w:szCs w:val="24"/>
        </w:rPr>
        <w:t xml:space="preserve">general de ¢ </w:t>
      </w:r>
      <w:r w:rsidR="00D41810">
        <w:rPr>
          <w:rFonts w:ascii="Arial" w:hAnsi="Arial" w:cs="Arial"/>
          <w:iCs/>
          <w:sz w:val="24"/>
          <w:szCs w:val="24"/>
        </w:rPr>
        <w:t>3.076</w:t>
      </w:r>
      <w:r w:rsidRPr="006974EB">
        <w:rPr>
          <w:rFonts w:ascii="Arial" w:hAnsi="Arial" w:cs="Arial"/>
          <w:iCs/>
          <w:sz w:val="24"/>
          <w:szCs w:val="24"/>
        </w:rPr>
        <w:t xml:space="preserve"> millones de colones, de los cuales ejecuta</w:t>
      </w:r>
      <w:r>
        <w:rPr>
          <w:rFonts w:ascii="Arial" w:hAnsi="Arial" w:cs="Arial"/>
          <w:iCs/>
          <w:sz w:val="24"/>
          <w:szCs w:val="24"/>
        </w:rPr>
        <w:t>r</w:t>
      </w:r>
      <w:r w:rsidRPr="006974EB">
        <w:rPr>
          <w:rFonts w:ascii="Arial" w:hAnsi="Arial" w:cs="Arial"/>
          <w:iCs/>
          <w:sz w:val="24"/>
          <w:szCs w:val="24"/>
        </w:rPr>
        <w:t>o</w:t>
      </w:r>
      <w:r>
        <w:rPr>
          <w:rFonts w:ascii="Arial" w:hAnsi="Arial" w:cs="Arial"/>
          <w:iCs/>
          <w:sz w:val="24"/>
          <w:szCs w:val="24"/>
        </w:rPr>
        <w:t>n</w:t>
      </w:r>
      <w:r w:rsidRPr="006974EB">
        <w:rPr>
          <w:rFonts w:ascii="Arial" w:hAnsi="Arial" w:cs="Arial"/>
          <w:iCs/>
          <w:sz w:val="24"/>
          <w:szCs w:val="24"/>
        </w:rPr>
        <w:t xml:space="preserve"> </w:t>
      </w:r>
      <w:r w:rsidR="0078667C" w:rsidRPr="006974EB">
        <w:rPr>
          <w:rFonts w:ascii="Arial" w:hAnsi="Arial" w:cs="Arial"/>
          <w:iCs/>
          <w:sz w:val="24"/>
          <w:szCs w:val="24"/>
        </w:rPr>
        <w:t>al</w:t>
      </w:r>
      <w:r w:rsidR="0078667C">
        <w:rPr>
          <w:rFonts w:ascii="Arial" w:hAnsi="Arial" w:cs="Arial"/>
          <w:iCs/>
          <w:sz w:val="24"/>
          <w:szCs w:val="24"/>
        </w:rPr>
        <w:t xml:space="preserve"> mes</w:t>
      </w:r>
      <w:r w:rsidR="0032796B">
        <w:rPr>
          <w:rFonts w:ascii="Arial" w:hAnsi="Arial" w:cs="Arial"/>
          <w:iCs/>
          <w:sz w:val="24"/>
          <w:szCs w:val="24"/>
        </w:rPr>
        <w:t xml:space="preserve"> de </w:t>
      </w:r>
      <w:r w:rsidR="0078667C">
        <w:rPr>
          <w:rFonts w:ascii="Arial" w:hAnsi="Arial" w:cs="Arial"/>
          <w:iCs/>
          <w:sz w:val="24"/>
          <w:szCs w:val="24"/>
        </w:rPr>
        <w:t>septiembre</w:t>
      </w:r>
      <w:r w:rsidRPr="006974EB">
        <w:rPr>
          <w:rFonts w:ascii="Arial" w:hAnsi="Arial" w:cs="Arial"/>
          <w:iCs/>
          <w:sz w:val="24"/>
          <w:szCs w:val="24"/>
        </w:rPr>
        <w:t xml:space="preserve"> ¢ </w:t>
      </w:r>
      <w:r w:rsidR="0078667C">
        <w:rPr>
          <w:rFonts w:ascii="Arial" w:hAnsi="Arial" w:cs="Arial"/>
          <w:iCs/>
          <w:sz w:val="24"/>
          <w:szCs w:val="24"/>
        </w:rPr>
        <w:t xml:space="preserve">1.421 </w:t>
      </w:r>
      <w:r w:rsidR="00D41810">
        <w:rPr>
          <w:rFonts w:ascii="Arial" w:hAnsi="Arial" w:cs="Arial"/>
          <w:iCs/>
          <w:sz w:val="24"/>
          <w:szCs w:val="24"/>
        </w:rPr>
        <w:t>millones</w:t>
      </w:r>
      <w:r w:rsidRPr="006974EB">
        <w:rPr>
          <w:rFonts w:ascii="Arial" w:hAnsi="Arial" w:cs="Arial"/>
          <w:iCs/>
          <w:sz w:val="24"/>
          <w:szCs w:val="24"/>
        </w:rPr>
        <w:t xml:space="preserve"> </w:t>
      </w:r>
      <w:r w:rsidR="00EB447F">
        <w:rPr>
          <w:rFonts w:ascii="Arial" w:hAnsi="Arial" w:cs="Arial"/>
          <w:iCs/>
          <w:sz w:val="24"/>
          <w:szCs w:val="24"/>
        </w:rPr>
        <w:t>alcanzando</w:t>
      </w:r>
      <w:r w:rsidRPr="006974EB">
        <w:rPr>
          <w:rFonts w:ascii="Arial" w:hAnsi="Arial" w:cs="Arial"/>
          <w:iCs/>
          <w:sz w:val="24"/>
          <w:szCs w:val="24"/>
        </w:rPr>
        <w:t xml:space="preserve"> un porcentaje de ejecución</w:t>
      </w:r>
      <w:r w:rsidR="00EB447F">
        <w:rPr>
          <w:rFonts w:ascii="Arial" w:hAnsi="Arial" w:cs="Arial"/>
          <w:iCs/>
          <w:sz w:val="24"/>
          <w:szCs w:val="24"/>
        </w:rPr>
        <w:t xml:space="preserve"> de</w:t>
      </w:r>
      <w:r w:rsidR="0032796B">
        <w:rPr>
          <w:rFonts w:ascii="Arial" w:hAnsi="Arial" w:cs="Arial"/>
          <w:iCs/>
          <w:sz w:val="24"/>
          <w:szCs w:val="24"/>
        </w:rPr>
        <w:t>l</w:t>
      </w:r>
      <w:r w:rsidR="00EB447F">
        <w:rPr>
          <w:rFonts w:ascii="Arial" w:hAnsi="Arial" w:cs="Arial"/>
          <w:iCs/>
          <w:sz w:val="24"/>
          <w:szCs w:val="24"/>
        </w:rPr>
        <w:t xml:space="preserve"> </w:t>
      </w:r>
      <w:r w:rsidR="0078667C">
        <w:rPr>
          <w:rFonts w:ascii="Arial" w:hAnsi="Arial" w:cs="Arial"/>
          <w:iCs/>
          <w:sz w:val="24"/>
          <w:szCs w:val="24"/>
        </w:rPr>
        <w:t>46.22</w:t>
      </w:r>
      <w:r w:rsidRPr="006974EB">
        <w:rPr>
          <w:rFonts w:ascii="Arial" w:hAnsi="Arial" w:cs="Arial"/>
          <w:iCs/>
          <w:sz w:val="24"/>
          <w:szCs w:val="24"/>
        </w:rPr>
        <w:t>%.</w:t>
      </w:r>
    </w:p>
    <w:p w:rsidR="00401EB1" w:rsidRDefault="00401EB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Como se observa en el grafico N° 3 </w:t>
      </w:r>
      <w:r w:rsidR="0053055C">
        <w:rPr>
          <w:rFonts w:ascii="Arial" w:hAnsi="Arial" w:cs="Arial"/>
          <w:iCs/>
          <w:sz w:val="24"/>
          <w:szCs w:val="24"/>
        </w:rPr>
        <w:t xml:space="preserve">en este </w:t>
      </w:r>
      <w:r w:rsidR="0078667C">
        <w:rPr>
          <w:rFonts w:ascii="Arial" w:hAnsi="Arial" w:cs="Arial"/>
          <w:iCs/>
          <w:sz w:val="24"/>
          <w:szCs w:val="24"/>
        </w:rPr>
        <w:t>tercer</w:t>
      </w:r>
      <w:r w:rsidR="00FA22B4">
        <w:rPr>
          <w:rFonts w:ascii="Arial" w:hAnsi="Arial" w:cs="Arial"/>
          <w:iCs/>
          <w:sz w:val="24"/>
          <w:szCs w:val="24"/>
        </w:rPr>
        <w:t xml:space="preserve"> trimestre del añ</w:t>
      </w:r>
      <w:r w:rsidR="0053055C">
        <w:rPr>
          <w:rFonts w:ascii="Arial" w:hAnsi="Arial" w:cs="Arial"/>
          <w:iCs/>
          <w:sz w:val="24"/>
          <w:szCs w:val="24"/>
        </w:rPr>
        <w:t>o del ejecutado alrededor del 5</w:t>
      </w:r>
      <w:r w:rsidR="0078667C">
        <w:rPr>
          <w:rFonts w:ascii="Arial" w:hAnsi="Arial" w:cs="Arial"/>
          <w:iCs/>
          <w:sz w:val="24"/>
          <w:szCs w:val="24"/>
        </w:rPr>
        <w:t>3</w:t>
      </w:r>
      <w:r w:rsidR="00FA22B4">
        <w:rPr>
          <w:rFonts w:ascii="Arial" w:hAnsi="Arial" w:cs="Arial"/>
          <w:iCs/>
          <w:sz w:val="24"/>
          <w:szCs w:val="24"/>
        </w:rPr>
        <w:t>% corresponde a</w:t>
      </w:r>
      <w:r w:rsidR="0078667C">
        <w:rPr>
          <w:rFonts w:ascii="Arial" w:hAnsi="Arial" w:cs="Arial"/>
          <w:iCs/>
          <w:sz w:val="24"/>
          <w:szCs w:val="24"/>
        </w:rPr>
        <w:t>l</w:t>
      </w:r>
      <w:r w:rsidR="00FA22B4">
        <w:rPr>
          <w:rFonts w:ascii="Arial" w:hAnsi="Arial" w:cs="Arial"/>
          <w:iCs/>
          <w:sz w:val="24"/>
          <w:szCs w:val="24"/>
        </w:rPr>
        <w:t xml:space="preserve"> </w:t>
      </w:r>
      <w:r w:rsidR="0078667C">
        <w:rPr>
          <w:rFonts w:ascii="Arial" w:hAnsi="Arial" w:cs="Arial"/>
          <w:iCs/>
          <w:sz w:val="24"/>
          <w:szCs w:val="24"/>
        </w:rPr>
        <w:t>Programa III</w:t>
      </w:r>
      <w:r w:rsidR="00FA22B4">
        <w:rPr>
          <w:rFonts w:ascii="Arial" w:hAnsi="Arial" w:cs="Arial"/>
          <w:iCs/>
          <w:sz w:val="24"/>
          <w:szCs w:val="24"/>
        </w:rPr>
        <w:t>, ejecutándose un porcentaje muy bajo en los demás</w:t>
      </w:r>
      <w:r w:rsidR="00BA79AD">
        <w:rPr>
          <w:rFonts w:ascii="Arial" w:hAnsi="Arial" w:cs="Arial"/>
          <w:iCs/>
          <w:sz w:val="24"/>
          <w:szCs w:val="24"/>
        </w:rPr>
        <w:t xml:space="preserve"> programas en </w:t>
      </w:r>
      <w:r w:rsidR="00FA22B4">
        <w:rPr>
          <w:rFonts w:ascii="Arial" w:hAnsi="Arial" w:cs="Arial"/>
          <w:iCs/>
          <w:sz w:val="24"/>
          <w:szCs w:val="24"/>
        </w:rPr>
        <w:t xml:space="preserve"> rubros como Servicios, Materiales y Bienes duraderos donde se realizó poca ejecución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:rsidR="00B810D3" w:rsidRDefault="00B810D3" w:rsidP="006974E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6974EB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D07CE3" w:rsidRPr="00D07CE3" w:rsidRDefault="00D07CE3" w:rsidP="006974EB">
      <w:pPr>
        <w:autoSpaceDE w:val="0"/>
        <w:autoSpaceDN w:val="0"/>
        <w:adjustRightInd w:val="0"/>
        <w:spacing w:after="0"/>
        <w:jc w:val="both"/>
        <w:rPr>
          <w:b/>
        </w:rPr>
      </w:pPr>
      <w:r w:rsidRPr="00D07CE3">
        <w:rPr>
          <w:b/>
        </w:rPr>
        <w:t>Grafico N° 4</w:t>
      </w:r>
    </w:p>
    <w:p w:rsidR="006974EB" w:rsidRPr="006974EB" w:rsidRDefault="006974EB" w:rsidP="006974EB">
      <w:pPr>
        <w:autoSpaceDE w:val="0"/>
        <w:autoSpaceDN w:val="0"/>
        <w:adjustRightInd w:val="0"/>
        <w:spacing w:after="0"/>
        <w:jc w:val="both"/>
      </w:pPr>
      <w:r>
        <w:rPr>
          <w:noProof/>
          <w:lang w:eastAsia="es-CR"/>
        </w:rPr>
        <w:drawing>
          <wp:inline distT="0" distB="0" distL="0" distR="0" wp14:anchorId="7D236C7D" wp14:editId="5305E40E">
            <wp:extent cx="5486400" cy="32004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lastRenderedPageBreak/>
        <w:t>Como se nota</w:t>
      </w:r>
      <w:r w:rsidR="009C3F35">
        <w:rPr>
          <w:rFonts w:ascii="Arial" w:hAnsi="Arial" w:cs="Arial"/>
          <w:iCs/>
          <w:sz w:val="24"/>
          <w:szCs w:val="24"/>
        </w:rPr>
        <w:t xml:space="preserve"> en el Grafico N</w:t>
      </w:r>
      <w:r w:rsidR="0038614B">
        <w:rPr>
          <w:rFonts w:ascii="Arial" w:hAnsi="Arial" w:cs="Arial"/>
          <w:iCs/>
          <w:sz w:val="24"/>
          <w:szCs w:val="24"/>
        </w:rPr>
        <w:t xml:space="preserve">° </w:t>
      </w:r>
      <w:r w:rsidR="009C3F35">
        <w:rPr>
          <w:rFonts w:ascii="Arial" w:hAnsi="Arial" w:cs="Arial"/>
          <w:iCs/>
          <w:sz w:val="24"/>
          <w:szCs w:val="24"/>
        </w:rPr>
        <w:t>4</w:t>
      </w:r>
      <w:r w:rsidR="00A439B4">
        <w:rPr>
          <w:rFonts w:ascii="Arial" w:hAnsi="Arial" w:cs="Arial"/>
          <w:iCs/>
          <w:sz w:val="24"/>
          <w:szCs w:val="24"/>
        </w:rPr>
        <w:t xml:space="preserve">, gran porcentaje </w:t>
      </w:r>
      <w:r w:rsidRPr="00401EB1">
        <w:rPr>
          <w:rFonts w:ascii="Arial" w:hAnsi="Arial" w:cs="Arial"/>
          <w:iCs/>
          <w:sz w:val="24"/>
          <w:szCs w:val="24"/>
        </w:rPr>
        <w:t>de egresos</w:t>
      </w:r>
      <w:r w:rsidR="00A439B4">
        <w:rPr>
          <w:rFonts w:ascii="Arial" w:hAnsi="Arial" w:cs="Arial"/>
          <w:iCs/>
          <w:sz w:val="24"/>
          <w:szCs w:val="24"/>
        </w:rPr>
        <w:t xml:space="preserve"> del trimestre se </w:t>
      </w:r>
      <w:r w:rsidR="0053055C">
        <w:rPr>
          <w:rFonts w:ascii="Arial" w:hAnsi="Arial" w:cs="Arial"/>
          <w:iCs/>
          <w:sz w:val="24"/>
          <w:szCs w:val="24"/>
        </w:rPr>
        <w:t>destinó</w:t>
      </w:r>
      <w:r w:rsidR="00A439B4">
        <w:rPr>
          <w:rFonts w:ascii="Arial" w:hAnsi="Arial" w:cs="Arial"/>
          <w:iCs/>
          <w:sz w:val="24"/>
          <w:szCs w:val="24"/>
        </w:rPr>
        <w:t xml:space="preserve"> </w:t>
      </w:r>
      <w:r w:rsidRPr="00401EB1">
        <w:rPr>
          <w:rFonts w:ascii="Arial" w:hAnsi="Arial" w:cs="Arial"/>
          <w:iCs/>
          <w:sz w:val="24"/>
          <w:szCs w:val="24"/>
        </w:rPr>
        <w:t>a</w:t>
      </w:r>
      <w:r w:rsidR="00A439B4">
        <w:rPr>
          <w:rFonts w:ascii="Arial" w:hAnsi="Arial" w:cs="Arial"/>
          <w:iCs/>
          <w:sz w:val="24"/>
          <w:szCs w:val="24"/>
        </w:rPr>
        <w:t xml:space="preserve"> las Remuneraciones en mayor medida en el Programa I</w:t>
      </w:r>
      <w:r w:rsidR="006C47F6">
        <w:rPr>
          <w:rFonts w:ascii="Arial" w:hAnsi="Arial" w:cs="Arial"/>
          <w:iCs/>
          <w:sz w:val="24"/>
          <w:szCs w:val="24"/>
        </w:rPr>
        <w:t>I</w:t>
      </w:r>
      <w:r w:rsidR="00A439B4">
        <w:rPr>
          <w:rFonts w:ascii="Arial" w:hAnsi="Arial" w:cs="Arial"/>
          <w:iCs/>
          <w:sz w:val="24"/>
          <w:szCs w:val="24"/>
        </w:rPr>
        <w:t xml:space="preserve"> y Programa III que es donde hay más personal nombrado, que en el área de </w:t>
      </w:r>
      <w:r w:rsidR="006C47F6">
        <w:rPr>
          <w:rFonts w:ascii="Arial" w:hAnsi="Arial" w:cs="Arial"/>
          <w:iCs/>
          <w:sz w:val="24"/>
          <w:szCs w:val="24"/>
        </w:rPr>
        <w:t>Administración</w:t>
      </w:r>
      <w:r w:rsidR="00A439B4">
        <w:rPr>
          <w:rFonts w:ascii="Arial" w:hAnsi="Arial" w:cs="Arial"/>
          <w:iCs/>
          <w:sz w:val="24"/>
          <w:szCs w:val="24"/>
        </w:rPr>
        <w:t xml:space="preserve"> del programa I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 xml:space="preserve">En el Programa de Dirección y Administración General </w:t>
      </w:r>
      <w:r w:rsidR="00A439B4">
        <w:rPr>
          <w:rFonts w:ascii="Arial" w:hAnsi="Arial" w:cs="Arial"/>
          <w:iCs/>
          <w:sz w:val="24"/>
          <w:szCs w:val="24"/>
        </w:rPr>
        <w:t>se ha la erogación por Transferencia realizada</w:t>
      </w:r>
      <w:r w:rsidRPr="00401EB1">
        <w:rPr>
          <w:rFonts w:ascii="Arial" w:hAnsi="Arial" w:cs="Arial"/>
          <w:iCs/>
          <w:sz w:val="24"/>
          <w:szCs w:val="24"/>
        </w:rPr>
        <w:t xml:space="preserve"> a</w:t>
      </w:r>
      <w:r w:rsidR="0053055C">
        <w:rPr>
          <w:rFonts w:ascii="Arial" w:hAnsi="Arial" w:cs="Arial"/>
          <w:iCs/>
          <w:sz w:val="24"/>
          <w:szCs w:val="24"/>
        </w:rPr>
        <w:t>l</w:t>
      </w:r>
      <w:r w:rsidRPr="00401EB1">
        <w:rPr>
          <w:rFonts w:ascii="Arial" w:hAnsi="Arial" w:cs="Arial"/>
          <w:iCs/>
          <w:sz w:val="24"/>
          <w:szCs w:val="24"/>
        </w:rPr>
        <w:t xml:space="preserve"> </w:t>
      </w:r>
      <w:r w:rsidR="0053055C">
        <w:rPr>
          <w:rFonts w:ascii="Arial" w:hAnsi="Arial" w:cs="Arial"/>
          <w:iCs/>
          <w:sz w:val="24"/>
          <w:szCs w:val="24"/>
        </w:rPr>
        <w:t>Comité Cantonal de Depor</w:t>
      </w:r>
      <w:r w:rsidR="0061075D">
        <w:rPr>
          <w:rFonts w:ascii="Arial" w:hAnsi="Arial" w:cs="Arial"/>
          <w:iCs/>
          <w:sz w:val="24"/>
          <w:szCs w:val="24"/>
        </w:rPr>
        <w:t>tes y Recreación de Los Chiles,</w:t>
      </w:r>
      <w:r w:rsidR="0053055C">
        <w:rPr>
          <w:rFonts w:ascii="Arial" w:hAnsi="Arial" w:cs="Arial"/>
          <w:iCs/>
          <w:sz w:val="24"/>
          <w:szCs w:val="24"/>
        </w:rPr>
        <w:t xml:space="preserve"> el porcentaje trimestral correspondiente al Órgano De Normalización Técnica </w:t>
      </w:r>
      <w:r w:rsidR="0061075D">
        <w:rPr>
          <w:rFonts w:ascii="Arial" w:hAnsi="Arial" w:cs="Arial"/>
          <w:iCs/>
          <w:sz w:val="24"/>
          <w:szCs w:val="24"/>
        </w:rPr>
        <w:t xml:space="preserve"> y el porcentaje aprobado por el Concejo Municipal para la Federación de Municipalidades Fronterizas con Nicaragua </w:t>
      </w:r>
      <w:r w:rsidR="00A439B4">
        <w:rPr>
          <w:rFonts w:ascii="Arial" w:hAnsi="Arial" w:cs="Arial"/>
          <w:iCs/>
          <w:sz w:val="24"/>
          <w:szCs w:val="24"/>
        </w:rPr>
        <w:t>solamente en este trimestre.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Servicios Comunitarios destacan el Servicio de Recolección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01EB1">
        <w:rPr>
          <w:rFonts w:ascii="Arial" w:hAnsi="Arial" w:cs="Arial"/>
          <w:iCs/>
          <w:sz w:val="24"/>
          <w:szCs w:val="24"/>
        </w:rPr>
        <w:t xml:space="preserve">de Desechos, </w:t>
      </w:r>
      <w:r>
        <w:rPr>
          <w:rFonts w:ascii="Arial" w:hAnsi="Arial" w:cs="Arial"/>
          <w:iCs/>
          <w:sz w:val="24"/>
          <w:szCs w:val="24"/>
        </w:rPr>
        <w:t>Cementerio</w:t>
      </w:r>
      <w:r w:rsidRPr="00401EB1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Mercado Municipal, Terminal de Buses, Zona portuaria, </w:t>
      </w:r>
      <w:r w:rsidRPr="00401EB1">
        <w:rPr>
          <w:rFonts w:ascii="Arial" w:hAnsi="Arial" w:cs="Arial"/>
          <w:iCs/>
          <w:sz w:val="24"/>
          <w:szCs w:val="24"/>
        </w:rPr>
        <w:t xml:space="preserve">Mantenimiento de caminos y calles, </w:t>
      </w:r>
      <w:r>
        <w:rPr>
          <w:rFonts w:ascii="Arial" w:hAnsi="Arial" w:cs="Arial"/>
          <w:iCs/>
          <w:sz w:val="24"/>
          <w:szCs w:val="24"/>
        </w:rPr>
        <w:t xml:space="preserve">Protección del Medio Ambiente , Desarrollo Urbano, </w:t>
      </w:r>
      <w:r w:rsidRPr="00401EB1">
        <w:rPr>
          <w:rFonts w:ascii="Arial" w:hAnsi="Arial" w:cs="Arial"/>
          <w:iCs/>
          <w:sz w:val="24"/>
          <w:szCs w:val="24"/>
        </w:rPr>
        <w:t>así como el apoyo a programas, Educativos y Deportivos,.</w:t>
      </w:r>
    </w:p>
    <w:p w:rsidR="0062060B" w:rsidRPr="00401EB1" w:rsidRDefault="0062060B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Inversiones destacan el programa de Inversiones Ley 8114</w:t>
      </w:r>
      <w:r w:rsidR="00A732CF">
        <w:rPr>
          <w:rFonts w:ascii="Arial" w:hAnsi="Arial" w:cs="Arial"/>
          <w:iCs/>
          <w:sz w:val="24"/>
          <w:szCs w:val="24"/>
        </w:rPr>
        <w:t xml:space="preserve"> Simplificación y Eficiencia Tributaria destinada únicamente a caminos Cantonales.</w:t>
      </w:r>
    </w:p>
    <w:p w:rsidR="007A0B52" w:rsidRDefault="007A0B52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F37B2C" w:rsidRDefault="00F37B2C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F37B2C" w:rsidRDefault="00F37B2C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07CE3" w:rsidRDefault="00162455" w:rsidP="000B6DE4">
      <w:pPr>
        <w:pStyle w:val="Ttulo1"/>
        <w:numPr>
          <w:ilvl w:val="0"/>
          <w:numId w:val="7"/>
        </w:numPr>
        <w:rPr>
          <w:color w:val="auto"/>
        </w:rPr>
      </w:pPr>
      <w:bookmarkStart w:id="5" w:name="_Toc488676719"/>
      <w:r>
        <w:rPr>
          <w:color w:val="auto"/>
        </w:rPr>
        <w:lastRenderedPageBreak/>
        <w:t>I</w:t>
      </w:r>
      <w:r w:rsidR="000B6DE4" w:rsidRPr="000B6DE4">
        <w:rPr>
          <w:color w:val="auto"/>
        </w:rPr>
        <w:t>nformación Complementaria</w:t>
      </w:r>
      <w:bookmarkEnd w:id="5"/>
    </w:p>
    <w:p w:rsidR="000B6DE4" w:rsidRDefault="003E316B" w:rsidP="003E316B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6" w:name="_Toc488676720"/>
      <w:r w:rsidRPr="003E316B">
        <w:rPr>
          <w:rFonts w:ascii="Arial" w:hAnsi="Arial" w:cs="Arial"/>
          <w:color w:val="auto"/>
          <w:sz w:val="24"/>
          <w:szCs w:val="24"/>
        </w:rPr>
        <w:t>2.1 Remuneraciones</w:t>
      </w:r>
      <w:bookmarkEnd w:id="6"/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0"/>
      </w:tblGrid>
      <w:tr w:rsidR="00E32D68" w:rsidRPr="00E32D68" w:rsidTr="00FD05AA">
        <w:trPr>
          <w:trHeight w:val="218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Default="00E32D68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p w:rsidR="0099577C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p w:rsidR="0099577C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tbl>
            <w:tblPr>
              <w:tblW w:w="832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870"/>
              <w:gridCol w:w="148"/>
              <w:gridCol w:w="946"/>
              <w:gridCol w:w="126"/>
              <w:gridCol w:w="1011"/>
              <w:gridCol w:w="2668"/>
              <w:gridCol w:w="977"/>
              <w:gridCol w:w="440"/>
              <w:gridCol w:w="1067"/>
            </w:tblGrid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725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725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3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98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MUNICIPALIDAD DE LOS CHILES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98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PRESUPUESTO ORDINARIO PARA EL PERIODO 2018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CUADRO No. 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RELACIÓN DE PUESTOS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NÚMERO DE PLAZAS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CATEG.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SALARIO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ACTUAL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JORNADA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DETALLE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BASE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(Horas)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DEL PUESTO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ACTUAL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SUELDOS PARA CARGOS  FIJOS 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Alcalde Municipal (1)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1,491,666.15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Visalcalde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1,312,666.21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Auditor Interno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Abogado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106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Secretaria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428,138.99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105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Contador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Coordinador Urbanistico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      629,395.00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Tesorero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      629,395.00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103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Inspector Rentas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Cajera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Proveedor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524,477.85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Recursos Humanos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101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Miscelaneos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294,662.10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2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1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428,138.99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3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Plataformista 1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Chofer de planta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326,322.30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Peón (5)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1,473,310.50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Chofer camion recolector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326,322.30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 muelle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524,477.85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 Puesto Tablillas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Encargado Catastro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Encargado de Servicios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Encargada de Bienes inmuebles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Bienes Inmuebles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lastRenderedPageBreak/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Coordinador Gestión Ambiental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</w:t>
                  </w:r>
                </w:p>
              </w:tc>
              <w:tc>
                <w:tcPr>
                  <w:tcW w:w="57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  TOTAL A PRESUPUESTAR SUELDOS PARA CARGOS  FIJOS 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15,778,384.52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SERVICIOS ESPECIALES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Peones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589,324.20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8.00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Digitadores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920,840.42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33</w:t>
                  </w:r>
                </w:p>
              </w:tc>
              <w:tc>
                <w:tcPr>
                  <w:tcW w:w="20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TOTAL DE PLAZAS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</w:tbl>
          <w:p w:rsidR="0099577C" w:rsidRPr="00E32D68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</w:tbl>
    <w:p w:rsidR="007D07A5" w:rsidRDefault="007D07A5" w:rsidP="00F2408B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2408B">
      <w:pPr>
        <w:spacing w:line="360" w:lineRule="auto"/>
        <w:rPr>
          <w:rFonts w:ascii="Arial" w:hAnsi="Arial" w:cs="Arial"/>
          <w:sz w:val="24"/>
          <w:szCs w:val="24"/>
        </w:rPr>
      </w:pPr>
    </w:p>
    <w:p w:rsidR="00F2408B" w:rsidRPr="00F2408B" w:rsidRDefault="0099577C" w:rsidP="00F2408B">
      <w:pPr>
        <w:spacing w:line="360" w:lineRule="auto"/>
        <w:rPr>
          <w:rFonts w:ascii="Arial" w:hAnsi="Arial" w:cs="Arial"/>
        </w:rPr>
      </w:pPr>
      <w:r w:rsidRPr="00F2408B">
        <w:rPr>
          <w:rFonts w:ascii="Arial" w:hAnsi="Arial" w:cs="Arial"/>
          <w:sz w:val="24"/>
          <w:szCs w:val="24"/>
        </w:rPr>
        <w:t xml:space="preserve">Además se indica que en </w:t>
      </w:r>
      <w:r>
        <w:rPr>
          <w:rFonts w:ascii="Arial" w:hAnsi="Arial" w:cs="Arial"/>
          <w:sz w:val="24"/>
          <w:szCs w:val="24"/>
        </w:rPr>
        <w:t xml:space="preserve">la Municipalidad de Los Chiles </w:t>
      </w:r>
      <w:r w:rsidRPr="00F2408B">
        <w:rPr>
          <w:rFonts w:ascii="Arial" w:hAnsi="Arial" w:cs="Arial"/>
          <w:sz w:val="24"/>
          <w:szCs w:val="24"/>
        </w:rPr>
        <w:t>se reconoce</w:t>
      </w:r>
      <w:r>
        <w:rPr>
          <w:rFonts w:ascii="Arial" w:hAnsi="Arial" w:cs="Arial"/>
          <w:sz w:val="24"/>
          <w:szCs w:val="24"/>
        </w:rPr>
        <w:t xml:space="preserve">n los </w:t>
      </w:r>
      <w:r w:rsidRPr="00F2408B">
        <w:rPr>
          <w:rFonts w:ascii="Arial" w:hAnsi="Arial" w:cs="Arial"/>
          <w:sz w:val="24"/>
          <w:szCs w:val="24"/>
        </w:rPr>
        <w:t xml:space="preserve">  incentivo</w:t>
      </w:r>
      <w:r>
        <w:rPr>
          <w:rFonts w:ascii="Arial" w:hAnsi="Arial" w:cs="Arial"/>
          <w:sz w:val="24"/>
          <w:szCs w:val="24"/>
        </w:rPr>
        <w:t xml:space="preserve"> salariales de Décimo Tercer mes, Retribución por años Servidos y Bono Escolar a l</w:t>
      </w:r>
      <w:r w:rsidRPr="00F2408B">
        <w:rPr>
          <w:rFonts w:ascii="Arial" w:hAnsi="Arial" w:cs="Arial"/>
          <w:sz w:val="24"/>
          <w:szCs w:val="24"/>
        </w:rPr>
        <w:t>os funcionario</w:t>
      </w:r>
      <w:r>
        <w:rPr>
          <w:rFonts w:ascii="Arial" w:hAnsi="Arial" w:cs="Arial"/>
          <w:sz w:val="24"/>
          <w:szCs w:val="24"/>
        </w:rPr>
        <w:t>s.</w:t>
      </w:r>
    </w:p>
    <w:p w:rsidR="00F2408B" w:rsidRDefault="00F2408B" w:rsidP="00F2408B">
      <w:pPr>
        <w:pStyle w:val="Ttulo2"/>
        <w:rPr>
          <w:color w:val="auto"/>
        </w:rPr>
      </w:pPr>
      <w:bookmarkStart w:id="7" w:name="_Toc488676721"/>
      <w:r w:rsidRPr="00F2408B">
        <w:rPr>
          <w:color w:val="auto"/>
        </w:rPr>
        <w:t>2.2 Transferencias</w:t>
      </w:r>
      <w:bookmarkEnd w:id="7"/>
    </w:p>
    <w:p w:rsidR="009C2892" w:rsidRDefault="009C2892" w:rsidP="009C2892"/>
    <w:tbl>
      <w:tblPr>
        <w:tblW w:w="90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4100"/>
        <w:gridCol w:w="2161"/>
      </w:tblGrid>
      <w:tr w:rsidR="008C4476" w:rsidRPr="008647D4" w:rsidTr="00EE3D32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CUADRO No. 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 xml:space="preserve">TRANSFERENCIAS CORRIENTES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291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771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Código del gasto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NOMBRE DEL BENEFICIARIO CLASIFICADO SEGÚN GRUPO Y SUBGRUPO DE EGRESOS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MONTO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6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TRANSFERENCIAS CORRIENTES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78,686,741.41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6.01.01.01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Gobierno Central 1%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3,100,200.00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Jta. Admi. Reg. Nacional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9,300,600.00</w:t>
            </w: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CONAGEBIO 10%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40,000.00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Fondo Parques Nacionales 70%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108,000.00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6.01.03.01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Junta de Educacion(10% Imp. Territorial)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31,000,000.00</w:t>
            </w:r>
          </w:p>
        </w:tc>
      </w:tr>
      <w:tr w:rsidR="008C4476" w:rsidRPr="008647D4" w:rsidTr="00EE3D32">
        <w:trPr>
          <w:trHeight w:val="1004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lastRenderedPageBreak/>
              <w:t>6.01.03.02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Consejo Nacional de personas con Discapacidad (CONAPDIS)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Unión de Gobierno Locales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2,066,937.73</w:t>
            </w: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Comité Cantonal Deportes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24,803,252.76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Aporte Fede. Munic. Zona Norte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</w:tbl>
    <w:p w:rsidR="008C4476" w:rsidRDefault="008C4476" w:rsidP="009C2892"/>
    <w:p w:rsidR="009C2892" w:rsidRPr="009C2892" w:rsidRDefault="009C2892" w:rsidP="009C2892"/>
    <w:p w:rsidR="007807CF" w:rsidRDefault="00264CE0" w:rsidP="00BC29AC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8" w:name="_Toc488676722"/>
      <w:r w:rsidRPr="00264CE0">
        <w:rPr>
          <w:rFonts w:ascii="Arial" w:hAnsi="Arial" w:cs="Arial"/>
          <w:color w:val="auto"/>
          <w:sz w:val="24"/>
          <w:szCs w:val="24"/>
        </w:rPr>
        <w:t>2.3 Amortización  e Intereses</w:t>
      </w:r>
      <w:bookmarkEnd w:id="8"/>
      <w:r w:rsidRPr="00264CE0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8C4476" w:rsidRPr="008C4476" w:rsidRDefault="008C4476" w:rsidP="008C4476"/>
    <w:p w:rsidR="006C47F6" w:rsidRDefault="00264CE0" w:rsidP="007D07A5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 xml:space="preserve">En cuanto a deuda interna a la fecha </w:t>
      </w:r>
      <w:r w:rsidR="006C47F6">
        <w:rPr>
          <w:rFonts w:ascii="Arial" w:hAnsi="Arial" w:cs="Arial"/>
          <w:sz w:val="24"/>
          <w:szCs w:val="24"/>
        </w:rPr>
        <w:t>es como se detalla: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685"/>
      </w:tblGrid>
      <w:tr w:rsidR="006C47F6" w:rsidTr="006C47F6">
        <w:tc>
          <w:tcPr>
            <w:tcW w:w="3227" w:type="dxa"/>
          </w:tcPr>
          <w:p w:rsidR="006C47F6" w:rsidRPr="006C47F6" w:rsidRDefault="006C47F6" w:rsidP="007D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47F6">
              <w:rPr>
                <w:rFonts w:ascii="Arial" w:hAnsi="Arial" w:cs="Arial"/>
                <w:b/>
                <w:sz w:val="24"/>
                <w:szCs w:val="24"/>
              </w:rPr>
              <w:t>Intereses sobre créditos</w:t>
            </w:r>
          </w:p>
        </w:tc>
        <w:tc>
          <w:tcPr>
            <w:tcW w:w="3685" w:type="dxa"/>
          </w:tcPr>
          <w:p w:rsidR="006C47F6" w:rsidRPr="006C47F6" w:rsidRDefault="006C47F6" w:rsidP="007D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47F6">
              <w:rPr>
                <w:rFonts w:ascii="Arial" w:hAnsi="Arial" w:cs="Arial"/>
                <w:b/>
                <w:sz w:val="24"/>
                <w:szCs w:val="24"/>
              </w:rPr>
              <w:t>Amortización sobre créditos</w:t>
            </w:r>
          </w:p>
        </w:tc>
      </w:tr>
      <w:tr w:rsidR="006C47F6" w:rsidTr="006C47F6">
        <w:tc>
          <w:tcPr>
            <w:tcW w:w="3227" w:type="dxa"/>
          </w:tcPr>
          <w:p w:rsidR="006C47F6" w:rsidRDefault="006C47F6" w:rsidP="007D07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7F6" w:rsidRDefault="006C47F6" w:rsidP="007D07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F6" w:rsidTr="006C47F6">
        <w:tc>
          <w:tcPr>
            <w:tcW w:w="3227" w:type="dxa"/>
          </w:tcPr>
          <w:p w:rsidR="006C47F6" w:rsidRDefault="006C47F6" w:rsidP="006C47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¢19.472.352.00</w:t>
            </w:r>
          </w:p>
        </w:tc>
        <w:tc>
          <w:tcPr>
            <w:tcW w:w="3685" w:type="dxa"/>
          </w:tcPr>
          <w:p w:rsidR="006C47F6" w:rsidRDefault="006C47F6" w:rsidP="006C47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¢21.942.667.00</w:t>
            </w:r>
          </w:p>
        </w:tc>
      </w:tr>
    </w:tbl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F71CCF" w:rsidRDefault="006C47F6" w:rsidP="007D07A5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>Sin más</w:t>
      </w:r>
      <w:r w:rsidR="00F71CCF" w:rsidRPr="00F71CCF">
        <w:rPr>
          <w:rFonts w:ascii="Arial" w:hAnsi="Arial" w:cs="Arial"/>
          <w:sz w:val="24"/>
          <w:szCs w:val="24"/>
        </w:rPr>
        <w:t xml:space="preserve"> por el momento;</w:t>
      </w: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8C4476" w:rsidRDefault="008C4476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F71CCF" w:rsidRPr="00F138E9" w:rsidRDefault="00F71CCF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r w:rsidRPr="00F138E9">
        <w:rPr>
          <w:rFonts w:ascii="Blackadder ITC" w:hAnsi="Blackadder ITC" w:cs="Arial"/>
          <w:sz w:val="36"/>
          <w:szCs w:val="36"/>
        </w:rPr>
        <w:t xml:space="preserve">Lic </w:t>
      </w:r>
      <w:r w:rsidR="00F138E9">
        <w:rPr>
          <w:rFonts w:ascii="Blackadder ITC" w:hAnsi="Blackadder ITC" w:cs="Arial"/>
          <w:sz w:val="36"/>
          <w:szCs w:val="36"/>
        </w:rPr>
        <w:t xml:space="preserve"> </w:t>
      </w:r>
      <w:r w:rsidRPr="00F138E9">
        <w:rPr>
          <w:rFonts w:ascii="Blackadder ITC" w:hAnsi="Blackadder ITC" w:cs="Arial"/>
          <w:sz w:val="36"/>
          <w:szCs w:val="36"/>
        </w:rPr>
        <w:t>Barley Garita Herrera</w:t>
      </w:r>
    </w:p>
    <w:p w:rsidR="00F138E9" w:rsidRPr="00F138E9" w:rsidRDefault="00F138E9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r w:rsidRPr="00F138E9">
        <w:rPr>
          <w:rFonts w:ascii="Blackadder ITC" w:hAnsi="Blackadder ITC" w:cs="Arial"/>
          <w:sz w:val="36"/>
          <w:szCs w:val="36"/>
        </w:rPr>
        <w:t>Presupuesto</w:t>
      </w:r>
    </w:p>
    <w:p w:rsidR="007D07A5" w:rsidRDefault="00F138E9" w:rsidP="00BC29AC">
      <w:pPr>
        <w:spacing w:after="0" w:line="360" w:lineRule="auto"/>
        <w:rPr>
          <w:rStyle w:val="Hipervnculo"/>
          <w:rFonts w:ascii="Arial" w:hAnsi="Arial" w:cs="Arial"/>
          <w:sz w:val="24"/>
          <w:szCs w:val="24"/>
        </w:rPr>
      </w:pPr>
      <w:r w:rsidRPr="00F138E9">
        <w:rPr>
          <w:rFonts w:ascii="Arial" w:hAnsi="Arial" w:cs="Arial"/>
          <w:sz w:val="24"/>
          <w:szCs w:val="24"/>
        </w:rPr>
        <w:t xml:space="preserve">Correo </w:t>
      </w:r>
      <w:hyperlink r:id="rId13" w:history="1">
        <w:r w:rsidRPr="00F138E9">
          <w:rPr>
            <w:rStyle w:val="Hipervnculo"/>
            <w:rFonts w:ascii="Arial" w:hAnsi="Arial" w:cs="Arial"/>
            <w:sz w:val="24"/>
            <w:szCs w:val="24"/>
          </w:rPr>
          <w:t>bgarita@muniloschiles.com</w:t>
        </w:r>
      </w:hyperlink>
    </w:p>
    <w:p w:rsidR="00F71CCF" w:rsidRDefault="00F138E9" w:rsidP="00BC29AC">
      <w:pPr>
        <w:spacing w:after="0" w:line="360" w:lineRule="auto"/>
      </w:pPr>
      <w:r w:rsidRPr="00F138E9">
        <w:rPr>
          <w:rFonts w:ascii="Arial" w:hAnsi="Arial" w:cs="Arial"/>
          <w:sz w:val="24"/>
          <w:szCs w:val="24"/>
        </w:rPr>
        <w:t xml:space="preserve">Tel 2471-1845 </w:t>
      </w:r>
      <w:r w:rsidR="006C47F6">
        <w:rPr>
          <w:rFonts w:ascii="Arial" w:hAnsi="Arial" w:cs="Arial"/>
          <w:sz w:val="24"/>
          <w:szCs w:val="24"/>
        </w:rPr>
        <w:t>Ext 123</w:t>
      </w:r>
    </w:p>
    <w:sectPr w:rsidR="00F71CCF" w:rsidSect="007D07A5">
      <w:headerReference w:type="default" r:id="rId14"/>
      <w:footerReference w:type="default" r:id="rId15"/>
      <w:headerReference w:type="first" r:id="rId16"/>
      <w:pgSz w:w="12240" w:h="15840"/>
      <w:pgMar w:top="498" w:right="1701" w:bottom="1276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34" w:rsidRDefault="00FC3C34" w:rsidP="00B1668B">
      <w:pPr>
        <w:spacing w:after="0" w:line="240" w:lineRule="auto"/>
      </w:pPr>
      <w:r>
        <w:separator/>
      </w:r>
    </w:p>
  </w:endnote>
  <w:endnote w:type="continuationSeparator" w:id="0">
    <w:p w:rsidR="00FC3C34" w:rsidRDefault="00FC3C34" w:rsidP="00B1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082"/>
      <w:gridCol w:w="3986"/>
    </w:tblGrid>
    <w:tr w:rsidR="003268A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268A0" w:rsidRDefault="003268A0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D95BDC" w:rsidRPr="00D95BDC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268A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268A0" w:rsidRDefault="003268A0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A3231" w:rsidRPr="0037790E" w:rsidRDefault="005A3231" w:rsidP="00377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34" w:rsidRDefault="00FC3C34" w:rsidP="00B1668B">
      <w:pPr>
        <w:spacing w:after="0" w:line="240" w:lineRule="auto"/>
      </w:pPr>
      <w:r>
        <w:separator/>
      </w:r>
    </w:p>
  </w:footnote>
  <w:footnote w:type="continuationSeparator" w:id="0">
    <w:p w:rsidR="00FC3C34" w:rsidRDefault="00FC3C34" w:rsidP="00B1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494916702"/>
      <w:docPartObj>
        <w:docPartGallery w:val="Page Numbers (Top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9D3CA1" w:rsidRDefault="009D3CA1">
        <w:pPr>
          <w:pStyle w:val="Encabezado"/>
          <w:jc w:val="right"/>
          <w:rPr>
            <w:b/>
            <w:bCs/>
            <w:sz w:val="20"/>
            <w:szCs w:val="20"/>
          </w:rPr>
        </w:pPr>
        <w:r w:rsidRPr="00B1668B">
          <w:rPr>
            <w:noProof/>
            <w:color w:val="31849B" w:themeColor="accent5" w:themeShade="BF"/>
            <w:lang w:eastAsia="es-CR"/>
          </w:rPr>
          <w:drawing>
            <wp:anchor distT="0" distB="0" distL="114300" distR="114300" simplePos="0" relativeHeight="251658240" behindDoc="0" locked="0" layoutInCell="1" allowOverlap="1" wp14:anchorId="0F074B0E" wp14:editId="25D721AB">
              <wp:simplePos x="0" y="0"/>
              <wp:positionH relativeFrom="column">
                <wp:posOffset>2472690</wp:posOffset>
              </wp:positionH>
              <wp:positionV relativeFrom="paragraph">
                <wp:posOffset>-345440</wp:posOffset>
              </wp:positionV>
              <wp:extent cx="542925" cy="685165"/>
              <wp:effectExtent l="0" t="0" r="9525" b="635"/>
              <wp:wrapSquare wrapText="bothSides"/>
              <wp:docPr id="13" name="Imagen 13" descr="C:\Users\BARLEY\Desktop\Municipalidad\Municipalidad\Logo Municipalida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BARLEY\Desktop\Municipalidad\Municipalidad\Logo Municipalida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9D3CA1" w:rsidRDefault="009D3CA1" w:rsidP="009D3CA1">
        <w:pPr>
          <w:pStyle w:val="Encabezado"/>
        </w:pPr>
      </w:p>
      <w:p w:rsidR="009D3CA1" w:rsidRPr="009D3CA1" w:rsidRDefault="009D3CA1" w:rsidP="009D3CA1">
        <w:pPr>
          <w:pStyle w:val="Encabezado"/>
          <w:jc w:val="center"/>
          <w:rPr>
            <w:rFonts w:asciiTheme="majorHAnsi" w:hAnsiTheme="majorHAnsi"/>
            <w:b/>
            <w:sz w:val="24"/>
            <w:szCs w:val="24"/>
          </w:rPr>
        </w:pPr>
        <w:r w:rsidRPr="009D3CA1">
          <w:rPr>
            <w:rFonts w:asciiTheme="majorHAnsi" w:hAnsiTheme="majorHAnsi"/>
            <w:b/>
            <w:sz w:val="24"/>
            <w:szCs w:val="24"/>
          </w:rPr>
          <w:t>MUNICIPALIDAD DEL CANTON DE LOS CHILES</w:t>
        </w:r>
      </w:p>
      <w:p w:rsidR="009D3CA1" w:rsidRPr="009D3CA1" w:rsidRDefault="009D3CA1" w:rsidP="009D3CA1">
        <w:pPr>
          <w:pStyle w:val="Encabezado"/>
          <w:jc w:val="center"/>
          <w:rPr>
            <w:rFonts w:asciiTheme="majorHAnsi" w:hAnsiTheme="majorHAnsi"/>
            <w:b/>
            <w:sz w:val="20"/>
            <w:szCs w:val="20"/>
          </w:rPr>
        </w:pPr>
        <w:r w:rsidRPr="009D3CA1">
          <w:rPr>
            <w:rFonts w:asciiTheme="majorHAnsi" w:hAnsiTheme="majorHAnsi"/>
            <w:b/>
            <w:sz w:val="20"/>
            <w:szCs w:val="20"/>
          </w:rPr>
          <w:t>CONTABILIDAD * PRESUPUESTO</w:t>
        </w:r>
      </w:p>
      <w:p w:rsidR="009D3CA1" w:rsidRDefault="00FC3C34" w:rsidP="009D3CA1">
        <w:pPr>
          <w:pStyle w:val="Encabezado"/>
          <w:jc w:val="center"/>
          <w:rPr>
            <w:rFonts w:asciiTheme="majorHAnsi" w:hAnsiTheme="majorHAnsi"/>
          </w:rPr>
        </w:pPr>
        <w:r>
          <w:rPr>
            <w:rFonts w:asciiTheme="majorHAnsi" w:hAnsiTheme="majorHAnsi"/>
          </w:rPr>
          <w:pict>
            <v:rect id="_x0000_i1025" style="width:0;height:1.5pt" o:hralign="center" o:hrstd="t" o:hr="t" fillcolor="#a0a0a0" stroked="f"/>
          </w:pict>
        </w:r>
      </w:p>
      <w:p w:rsidR="00A77DA4" w:rsidRPr="009D3CA1" w:rsidRDefault="00FC3C34" w:rsidP="009D3CA1">
        <w:pPr>
          <w:pStyle w:val="Encabezado"/>
          <w:jc w:val="center"/>
          <w:rPr>
            <w:rFonts w:asciiTheme="majorHAnsi" w:hAnsiTheme="majorHAnsi"/>
          </w:rPr>
        </w:pPr>
      </w:p>
    </w:sdtContent>
  </w:sdt>
  <w:p w:rsidR="009D3CA1" w:rsidRDefault="009D3CA1" w:rsidP="009D3CA1">
    <w:pPr>
      <w:pStyle w:val="Encabezado"/>
      <w:tabs>
        <w:tab w:val="clear" w:pos="4419"/>
        <w:tab w:val="clear" w:pos="8838"/>
        <w:tab w:val="left" w:pos="6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B4" w:rsidRDefault="00A439B4" w:rsidP="00B1668B">
    <w:pPr>
      <w:pStyle w:val="Encabezado"/>
    </w:pPr>
  </w:p>
  <w:p w:rsidR="00A439B4" w:rsidRDefault="00A439B4" w:rsidP="00B1668B">
    <w:pPr>
      <w:pStyle w:val="Encabezado"/>
    </w:pPr>
  </w:p>
  <w:p w:rsidR="00A439B4" w:rsidRPr="00B1668B" w:rsidRDefault="00A439B4" w:rsidP="00B1668B">
    <w:pPr>
      <w:pStyle w:val="Encabezado"/>
      <w:rPr>
        <w:color w:val="31849B" w:themeColor="accent5" w:themeShade="BF"/>
        <w:sz w:val="52"/>
        <w:szCs w:val="52"/>
      </w:rPr>
    </w:pPr>
    <w:r w:rsidRPr="00B1668B">
      <w:rPr>
        <w:noProof/>
        <w:color w:val="31849B" w:themeColor="accent5" w:themeShade="BF"/>
        <w:lang w:eastAsia="es-CR"/>
      </w:rPr>
      <w:drawing>
        <wp:inline distT="0" distB="0" distL="0" distR="0" wp14:anchorId="3EB5DAD8" wp14:editId="619957A6">
          <wp:extent cx="1085850" cy="1371907"/>
          <wp:effectExtent l="0" t="0" r="0" b="0"/>
          <wp:docPr id="14" name="Imagen 14" descr="C:\Users\BARLEY\Desktop\Municipalidad\Municipalidad\Logo Municip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LEY\Desktop\Municipalidad\Municipalidad\Logo Municipalid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7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68B">
      <w:rPr>
        <w:color w:val="31849B" w:themeColor="accent5" w:themeShade="BF"/>
      </w:rPr>
      <w:t xml:space="preserve">   </w:t>
    </w:r>
    <w:r w:rsidRPr="00B1668B">
      <w:rPr>
        <w:color w:val="31849B" w:themeColor="accent5" w:themeShade="BF"/>
        <w:sz w:val="52"/>
        <w:szCs w:val="52"/>
      </w:rPr>
      <w:t>MUNICIPALIDAD DE LOS CHILES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C4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C3241"/>
    <w:multiLevelType w:val="hybridMultilevel"/>
    <w:tmpl w:val="2A80E0E0"/>
    <w:lvl w:ilvl="0" w:tplc="09126EC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0E03EB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7C1B17"/>
    <w:multiLevelType w:val="multilevel"/>
    <w:tmpl w:val="F9BC5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5" w:hanging="72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28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19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  <w:color w:val="auto"/>
      </w:rPr>
    </w:lvl>
  </w:abstractNum>
  <w:abstractNum w:abstractNumId="4" w15:restartNumberingAfterBreak="0">
    <w:nsid w:val="5074443E"/>
    <w:multiLevelType w:val="hybridMultilevel"/>
    <w:tmpl w:val="13A634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DD7"/>
    <w:multiLevelType w:val="hybridMultilevel"/>
    <w:tmpl w:val="FD264B7C"/>
    <w:lvl w:ilvl="0" w:tplc="BC1C2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5CB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3C48E4"/>
    <w:multiLevelType w:val="hybridMultilevel"/>
    <w:tmpl w:val="4496BDB4"/>
    <w:lvl w:ilvl="0" w:tplc="1D1ABA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F37ED"/>
    <w:multiLevelType w:val="hybridMultilevel"/>
    <w:tmpl w:val="07908ABE"/>
    <w:lvl w:ilvl="0" w:tplc="F3246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D5A86"/>
    <w:multiLevelType w:val="multilevel"/>
    <w:tmpl w:val="4078C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1"/>
    <w:rsid w:val="00006361"/>
    <w:rsid w:val="0000770A"/>
    <w:rsid w:val="0002318B"/>
    <w:rsid w:val="00033093"/>
    <w:rsid w:val="0003395E"/>
    <w:rsid w:val="00047C4A"/>
    <w:rsid w:val="00076778"/>
    <w:rsid w:val="000A6695"/>
    <w:rsid w:val="000B6DE4"/>
    <w:rsid w:val="000C094A"/>
    <w:rsid w:val="000C243B"/>
    <w:rsid w:val="0010570D"/>
    <w:rsid w:val="00107245"/>
    <w:rsid w:val="00112BDB"/>
    <w:rsid w:val="0015403C"/>
    <w:rsid w:val="00160E3F"/>
    <w:rsid w:val="00162455"/>
    <w:rsid w:val="00163DCF"/>
    <w:rsid w:val="00180374"/>
    <w:rsid w:val="001A48E2"/>
    <w:rsid w:val="001B5F33"/>
    <w:rsid w:val="001E15AB"/>
    <w:rsid w:val="00223C5F"/>
    <w:rsid w:val="0025654E"/>
    <w:rsid w:val="00264CE0"/>
    <w:rsid w:val="00273776"/>
    <w:rsid w:val="002B0631"/>
    <w:rsid w:val="002B1121"/>
    <w:rsid w:val="002B5C58"/>
    <w:rsid w:val="002C0A18"/>
    <w:rsid w:val="002C153E"/>
    <w:rsid w:val="002F4613"/>
    <w:rsid w:val="002F545C"/>
    <w:rsid w:val="00304215"/>
    <w:rsid w:val="003268A0"/>
    <w:rsid w:val="0032796B"/>
    <w:rsid w:val="0037790E"/>
    <w:rsid w:val="00380B65"/>
    <w:rsid w:val="0038614B"/>
    <w:rsid w:val="003A3531"/>
    <w:rsid w:val="003C4D6A"/>
    <w:rsid w:val="003E316B"/>
    <w:rsid w:val="003F345F"/>
    <w:rsid w:val="00400444"/>
    <w:rsid w:val="00401EB1"/>
    <w:rsid w:val="0040227D"/>
    <w:rsid w:val="00415EBB"/>
    <w:rsid w:val="004222AD"/>
    <w:rsid w:val="004428BD"/>
    <w:rsid w:val="00455C01"/>
    <w:rsid w:val="00491773"/>
    <w:rsid w:val="004953E4"/>
    <w:rsid w:val="004B2692"/>
    <w:rsid w:val="0053055C"/>
    <w:rsid w:val="00541D5C"/>
    <w:rsid w:val="0055718E"/>
    <w:rsid w:val="00573107"/>
    <w:rsid w:val="00577EF6"/>
    <w:rsid w:val="005A3231"/>
    <w:rsid w:val="005E3B59"/>
    <w:rsid w:val="0061075D"/>
    <w:rsid w:val="0062012B"/>
    <w:rsid w:val="0062060B"/>
    <w:rsid w:val="006812F7"/>
    <w:rsid w:val="006974EB"/>
    <w:rsid w:val="006C2A5A"/>
    <w:rsid w:val="006C47F6"/>
    <w:rsid w:val="006C4F23"/>
    <w:rsid w:val="006C7DEA"/>
    <w:rsid w:val="007034FA"/>
    <w:rsid w:val="00704FBA"/>
    <w:rsid w:val="00722F29"/>
    <w:rsid w:val="007807CF"/>
    <w:rsid w:val="0078667C"/>
    <w:rsid w:val="00795BCF"/>
    <w:rsid w:val="007A0B52"/>
    <w:rsid w:val="007A72CA"/>
    <w:rsid w:val="007C6D36"/>
    <w:rsid w:val="007D07A5"/>
    <w:rsid w:val="007D6B92"/>
    <w:rsid w:val="0080549C"/>
    <w:rsid w:val="008512D8"/>
    <w:rsid w:val="00895085"/>
    <w:rsid w:val="008B2BCB"/>
    <w:rsid w:val="008B6BB8"/>
    <w:rsid w:val="008C4476"/>
    <w:rsid w:val="008C5C9B"/>
    <w:rsid w:val="008D35D3"/>
    <w:rsid w:val="008E4E00"/>
    <w:rsid w:val="008F3DEF"/>
    <w:rsid w:val="00900CBF"/>
    <w:rsid w:val="00952883"/>
    <w:rsid w:val="00967453"/>
    <w:rsid w:val="0099577C"/>
    <w:rsid w:val="009C2892"/>
    <w:rsid w:val="009C3F35"/>
    <w:rsid w:val="009C7041"/>
    <w:rsid w:val="009D3CA1"/>
    <w:rsid w:val="009D6B70"/>
    <w:rsid w:val="009E3A76"/>
    <w:rsid w:val="00A14585"/>
    <w:rsid w:val="00A2187B"/>
    <w:rsid w:val="00A40306"/>
    <w:rsid w:val="00A40F11"/>
    <w:rsid w:val="00A42258"/>
    <w:rsid w:val="00A439B4"/>
    <w:rsid w:val="00A70A5B"/>
    <w:rsid w:val="00A732CF"/>
    <w:rsid w:val="00A77DA4"/>
    <w:rsid w:val="00AA2518"/>
    <w:rsid w:val="00AC0F43"/>
    <w:rsid w:val="00AF1047"/>
    <w:rsid w:val="00B00C41"/>
    <w:rsid w:val="00B0358B"/>
    <w:rsid w:val="00B1304D"/>
    <w:rsid w:val="00B1668B"/>
    <w:rsid w:val="00B53C69"/>
    <w:rsid w:val="00B573C5"/>
    <w:rsid w:val="00B755B2"/>
    <w:rsid w:val="00B810D3"/>
    <w:rsid w:val="00B946A0"/>
    <w:rsid w:val="00BA79AD"/>
    <w:rsid w:val="00BC29AC"/>
    <w:rsid w:val="00BF498D"/>
    <w:rsid w:val="00C10F61"/>
    <w:rsid w:val="00C5720D"/>
    <w:rsid w:val="00C61AC4"/>
    <w:rsid w:val="00CA4A96"/>
    <w:rsid w:val="00CB2A1B"/>
    <w:rsid w:val="00CB76AE"/>
    <w:rsid w:val="00CC6546"/>
    <w:rsid w:val="00CF0161"/>
    <w:rsid w:val="00CF10AC"/>
    <w:rsid w:val="00D07CE3"/>
    <w:rsid w:val="00D262A1"/>
    <w:rsid w:val="00D41810"/>
    <w:rsid w:val="00D47A9B"/>
    <w:rsid w:val="00D54FD4"/>
    <w:rsid w:val="00D95BDC"/>
    <w:rsid w:val="00DA5AE4"/>
    <w:rsid w:val="00DE34E1"/>
    <w:rsid w:val="00DF1608"/>
    <w:rsid w:val="00E15476"/>
    <w:rsid w:val="00E15609"/>
    <w:rsid w:val="00E32D68"/>
    <w:rsid w:val="00E32F54"/>
    <w:rsid w:val="00E3417C"/>
    <w:rsid w:val="00E60B1B"/>
    <w:rsid w:val="00E6267E"/>
    <w:rsid w:val="00E64307"/>
    <w:rsid w:val="00E77155"/>
    <w:rsid w:val="00EA52E2"/>
    <w:rsid w:val="00EB447F"/>
    <w:rsid w:val="00EC28EA"/>
    <w:rsid w:val="00EC6460"/>
    <w:rsid w:val="00EF2C85"/>
    <w:rsid w:val="00F05444"/>
    <w:rsid w:val="00F11479"/>
    <w:rsid w:val="00F138E9"/>
    <w:rsid w:val="00F15962"/>
    <w:rsid w:val="00F211BD"/>
    <w:rsid w:val="00F2408B"/>
    <w:rsid w:val="00F370A9"/>
    <w:rsid w:val="00F37B2C"/>
    <w:rsid w:val="00F632C8"/>
    <w:rsid w:val="00F716DA"/>
    <w:rsid w:val="00F71CCF"/>
    <w:rsid w:val="00F73BC1"/>
    <w:rsid w:val="00F7447A"/>
    <w:rsid w:val="00F83604"/>
    <w:rsid w:val="00FA22B4"/>
    <w:rsid w:val="00FC3C34"/>
    <w:rsid w:val="00FD05AA"/>
    <w:rsid w:val="00FE162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860048-C1B2-4E96-A581-BB5EC9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6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4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E4E00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4E00"/>
    <w:rPr>
      <w:rFonts w:eastAsiaTheme="minorEastAsia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8B"/>
  </w:style>
  <w:style w:type="paragraph" w:styleId="Piedepgina">
    <w:name w:val="footer"/>
    <w:basedOn w:val="Normal"/>
    <w:link w:val="Piedepgina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8B"/>
  </w:style>
  <w:style w:type="paragraph" w:styleId="Prrafodelista">
    <w:name w:val="List Paragraph"/>
    <w:basedOn w:val="Normal"/>
    <w:uiPriority w:val="34"/>
    <w:qFormat/>
    <w:rsid w:val="00163D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D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B6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B6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3B59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5E3B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E3B5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5E3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garita@muniloschiles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Municipalidad de Los Chiles</a:t>
            </a:r>
          </a:p>
          <a:p>
            <a:pPr>
              <a:defRPr/>
            </a:pPr>
            <a:r>
              <a:rPr lang="en-US" sz="1400"/>
              <a:t>Ingresos</a:t>
            </a:r>
            <a:r>
              <a:rPr lang="en-US" sz="1400" baseline="0"/>
              <a:t> de julio a septiembre 2018</a:t>
            </a:r>
            <a:endParaRPr lang="en-US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64E-2"/>
          <c:y val="0.16259936257967755"/>
          <c:w val="0.72042851414406528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Municipalidad de Los Chiles</c:v>
                </c:pt>
              </c:strCache>
            </c:strRef>
          </c:tx>
          <c:explosion val="25"/>
          <c:cat>
            <c:strRef>
              <c:f>Hoja1!$A$2:$A$3</c:f>
              <c:strCache>
                <c:ptCount val="2"/>
                <c:pt idx="0">
                  <c:v>Inresos Corrientes</c:v>
                </c:pt>
                <c:pt idx="1">
                  <c:v>Ingresos de capital</c:v>
                </c:pt>
              </c:strCache>
            </c:strRef>
          </c:cat>
          <c:val>
            <c:numRef>
              <c:f>Hoja1!$B$2:$B$3</c:f>
              <c:numCache>
                <c:formatCode>_-* #,##0.00_-;\-* #,##0.00_-;_-* "-"_-;_-@_-</c:formatCode>
                <c:ptCount val="2"/>
                <c:pt idx="0">
                  <c:v>126313675</c:v>
                </c:pt>
                <c:pt idx="1">
                  <c:v>408394269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/>
              <a:t>Municipalidad de Los Chiles</a:t>
            </a:r>
          </a:p>
          <a:p>
            <a:pPr>
              <a:defRPr/>
            </a:pPr>
            <a:r>
              <a:rPr lang="es-CR"/>
              <a:t>Comportamiento de ingresos</a:t>
            </a:r>
          </a:p>
          <a:p>
            <a:pPr>
              <a:defRPr/>
            </a:pPr>
            <a:r>
              <a:rPr lang="es-CR"/>
              <a:t>Mensual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Ingresos Corrientes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43282</c:v>
                </c:pt>
                <c:pt idx="1">
                  <c:v>43313</c:v>
                </c:pt>
                <c:pt idx="2">
                  <c:v>43344</c:v>
                </c:pt>
              </c:numCache>
            </c:numRef>
          </c:cat>
          <c:val>
            <c:numRef>
              <c:f>Hoja1!$B$2:$B$4</c:f>
              <c:numCache>
                <c:formatCode>_-* #,##0.00_-;\-* #,##0.00_-;_-* "-"_-;_-@_-</c:formatCode>
                <c:ptCount val="3"/>
                <c:pt idx="0">
                  <c:v>41547134.089999996</c:v>
                </c:pt>
                <c:pt idx="1">
                  <c:v>37632458.439999998</c:v>
                </c:pt>
                <c:pt idx="2">
                  <c:v>47334082.979999997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Ingresos de Capital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43282</c:v>
                </c:pt>
                <c:pt idx="1">
                  <c:v>43313</c:v>
                </c:pt>
                <c:pt idx="2">
                  <c:v>43344</c:v>
                </c:pt>
              </c:numCache>
            </c:numRef>
          </c:cat>
          <c:val>
            <c:numRef>
              <c:f>Hoja1!$C$2:$C$4</c:f>
              <c:numCache>
                <c:formatCode>_-* #,##0.00_-;\-* #,##0.00_-;_-* "-"_-;_-@_-</c:formatCode>
                <c:ptCount val="3"/>
                <c:pt idx="0">
                  <c:v>0</c:v>
                </c:pt>
                <c:pt idx="1">
                  <c:v>408394269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37530032"/>
        <c:axId val="437530816"/>
      </c:barChart>
      <c:dateAx>
        <c:axId val="43753003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437530816"/>
        <c:crosses val="autoZero"/>
        <c:auto val="1"/>
        <c:lblOffset val="100"/>
        <c:baseTimeUnit val="months"/>
      </c:dateAx>
      <c:valAx>
        <c:axId val="437530816"/>
        <c:scaling>
          <c:orientation val="minMax"/>
        </c:scaling>
        <c:delete val="0"/>
        <c:axPos val="l"/>
        <c:majorGridlines/>
        <c:numFmt formatCode="_-* #,##0.00_-;\-* #,##0.00_-;_-* &quot;-&quot;_-;_-@_-" sourceLinked="1"/>
        <c:majorTickMark val="none"/>
        <c:minorTickMark val="none"/>
        <c:tickLblPos val="nextTo"/>
        <c:spPr>
          <a:ln w="9525">
            <a:noFill/>
          </a:ln>
        </c:spPr>
        <c:crossAx val="4375300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Municipalidad de los Chiles</a:t>
            </a:r>
          </a:p>
          <a:p>
            <a:pPr>
              <a:defRPr/>
            </a:pPr>
            <a:r>
              <a:rPr lang="en-US" sz="1400"/>
              <a:t>Comportamiento de Ejecucion de  Egresos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128373014.92</c:v>
                </c:pt>
                <c:pt idx="1">
                  <c:v>94543842.400000006</c:v>
                </c:pt>
                <c:pt idx="2">
                  <c:v>297924105.19</c:v>
                </c:pt>
                <c:pt idx="3">
                  <c:v>39608588.460000001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 sz="1600"/>
              <a:t>Municipalidad de</a:t>
            </a:r>
            <a:r>
              <a:rPr lang="es-CR" sz="1600" baseline="0"/>
              <a:t> Los Chiles</a:t>
            </a:r>
          </a:p>
          <a:p>
            <a:pPr>
              <a:defRPr/>
            </a:pPr>
            <a:r>
              <a:rPr lang="es-CR" sz="1600" baseline="0"/>
              <a:t>Comportamiento de Ejecucion de Egresos</a:t>
            </a:r>
          </a:p>
          <a:p>
            <a:pPr>
              <a:defRPr/>
            </a:pPr>
            <a:r>
              <a:rPr lang="es-CR" sz="1600" baseline="0"/>
              <a:t>Por Objeto del Gasto</a:t>
            </a:r>
            <a:endParaRPr lang="es-CR" sz="1600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Remuneraciones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Hoja1!$B$2:$B$5</c:f>
              <c:numCache>
                <c:formatCode>_(* #,##0_);_(* \(#,##0\);_(* "-"_);_(@_)</c:formatCode>
                <c:ptCount val="4"/>
                <c:pt idx="0">
                  <c:v>58426733</c:v>
                </c:pt>
                <c:pt idx="1">
                  <c:v>71000000</c:v>
                </c:pt>
                <c:pt idx="2">
                  <c:v>76430749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Servicios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Hoja1!$C$2:$C$5</c:f>
              <c:numCache>
                <c:formatCode>_(* #,##0_);_(* \(#,##0\);_(* "-"_);_(@_)</c:formatCode>
                <c:ptCount val="4"/>
                <c:pt idx="0">
                  <c:v>3346483</c:v>
                </c:pt>
                <c:pt idx="1">
                  <c:v>15000000</c:v>
                </c:pt>
                <c:pt idx="2">
                  <c:v>50903474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Materiales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Hoja1!$D$2:$D$5</c:f>
              <c:numCache>
                <c:formatCode>_(* #,##0_);_(* \(#,##0\);_(* "-"_);_(@_)</c:formatCode>
                <c:ptCount val="4"/>
                <c:pt idx="0">
                  <c:v>5303185</c:v>
                </c:pt>
                <c:pt idx="1">
                  <c:v>8000000</c:v>
                </c:pt>
                <c:pt idx="2">
                  <c:v>41116938</c:v>
                </c:pt>
                <c:pt idx="3">
                  <c:v>18000000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Intereses s/ creditos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 formatCode="_(* #,##0_);_(* \(#,##0\);_(* &quot;-&quot;_);_(@_)">
                  <c:v>1855065</c:v>
                </c:pt>
                <c:pt idx="2" formatCode="_(* #,##0_);_(* \(#,##0\);_(* &quot;-&quot;_);_(@_)">
                  <c:v>17617287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Bienes Duraderos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Hoja1!$F$2:$F$5</c:f>
              <c:numCache>
                <c:formatCode>_(* #,##0_);_(* \(#,##0\);_(* "-"_);_(@_)</c:formatCode>
                <c:ptCount val="4"/>
                <c:pt idx="0">
                  <c:v>3332117</c:v>
                </c:pt>
                <c:pt idx="1">
                  <c:v>9000000</c:v>
                </c:pt>
                <c:pt idx="2">
                  <c:v>11107900</c:v>
                </c:pt>
                <c:pt idx="3">
                  <c:v>21000000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Amortizacion s/creditos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  <c:pt idx="0" formatCode="_(* #,##0_);_(* \(#,##0\);_(* &quot;-&quot;_);_(@_)">
                  <c:v>783499</c:v>
                </c:pt>
                <c:pt idx="2" formatCode="_(* #,##0_);_(* \(#,##0\);_(* &quot;-&quot;_);_(@_)">
                  <c:v>21159168</c:v>
                </c:pt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Transferencias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Hoja1!$H$2:$H$5</c:f>
              <c:numCache>
                <c:formatCode>General</c:formatCode>
                <c:ptCount val="4"/>
                <c:pt idx="0" formatCode="_(* #,##0_);_(* \(#,##0\);_(* &quot;-&quot;_);_(@_)">
                  <c:v>51828749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3734688"/>
        <c:axId val="493730376"/>
        <c:axId val="0"/>
      </c:bar3DChart>
      <c:catAx>
        <c:axId val="493734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Programas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493730376"/>
        <c:crosses val="autoZero"/>
        <c:auto val="1"/>
        <c:lblAlgn val="ctr"/>
        <c:lblOffset val="100"/>
        <c:noMultiLvlLbl val="0"/>
      </c:catAx>
      <c:valAx>
        <c:axId val="4937303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miles</a:t>
                </a:r>
                <a:r>
                  <a:rPr lang="es-CR" baseline="0"/>
                  <a:t> de </a:t>
                </a:r>
                <a:r>
                  <a:rPr lang="es-CR"/>
                  <a:t>colones</a:t>
                </a:r>
              </a:p>
            </c:rich>
          </c:tx>
          <c:overlay val="0"/>
        </c:title>
        <c:numFmt formatCode="_(* #,##0_);_(* \(#,##0\);_(* &quot;-&quot;_);_(@_)" sourceLinked="1"/>
        <c:majorTickMark val="out"/>
        <c:minorTickMark val="none"/>
        <c:tickLblPos val="nextTo"/>
        <c:crossAx val="493734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 METROS OESTE DE LA IGLESIA CATOLICA EN LOS CHILES CENTRO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EACBE3-135C-497E-A71C-242F6ACF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10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EJECUCION PRESUPUESTARIA</vt:lpstr>
    </vt:vector>
  </TitlesOfParts>
  <Company>Correo: bgarita@muniloschiles.com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EJECUCION PRESUPUESTARIA</dc:title>
  <dc:subject>DICIEMBRE 2015</dc:subject>
  <dc:creator>BRLEY</dc:creator>
  <cp:lastModifiedBy>Barley Garita Herrera</cp:lastModifiedBy>
  <cp:revision>164</cp:revision>
  <cp:lastPrinted>2016-07-29T22:24:00Z</cp:lastPrinted>
  <dcterms:created xsi:type="dcterms:W3CDTF">2016-07-06T15:35:00Z</dcterms:created>
  <dcterms:modified xsi:type="dcterms:W3CDTF">2018-12-03T19:32:00Z</dcterms:modified>
</cp:coreProperties>
</file>